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32" w:rsidRPr="00641266" w:rsidRDefault="00AA5F32" w:rsidP="00FB2194">
      <w:pPr>
        <w:pStyle w:val="Titre3"/>
        <w:jc w:val="center"/>
        <w:rPr>
          <w:u w:val="single"/>
        </w:rPr>
      </w:pPr>
      <w:r w:rsidRPr="00641266">
        <w:rPr>
          <w:u w:val="single"/>
        </w:rPr>
        <w:t>RAPPORT NARRATIF FINANCIER 2025</w:t>
      </w:r>
    </w:p>
    <w:p w:rsidR="00AA5F32" w:rsidRDefault="005F72EA" w:rsidP="00AB534B">
      <w:pPr>
        <w:pStyle w:val="Titre3"/>
        <w:spacing w:before="0" w:beforeAutospacing="0" w:after="0" w:afterAutospacing="0"/>
      </w:pPr>
      <w:r w:rsidRPr="001211E2">
        <w:t xml:space="preserve">Nom de l’organisation : </w:t>
      </w:r>
      <w:r w:rsidR="00AA5F32" w:rsidRPr="001211E2">
        <w:rPr>
          <w:color w:val="0070C0"/>
        </w:rPr>
        <w:t>Association de Lutte Contre les Violences Sexuelles et Appui à la Promotion du Développement Durable « ALUCOVIS-APDD »</w:t>
      </w:r>
    </w:p>
    <w:p w:rsidR="00AA5F32" w:rsidRDefault="00AA5F32" w:rsidP="00AB534B">
      <w:pPr>
        <w:pStyle w:val="NormalWeb"/>
        <w:spacing w:before="0" w:beforeAutospacing="0" w:after="0" w:afterAutospacing="0"/>
        <w:jc w:val="both"/>
      </w:pPr>
      <w:r>
        <w:rPr>
          <w:rStyle w:val="lev"/>
        </w:rPr>
        <w:t>Période :</w:t>
      </w:r>
      <w:r>
        <w:t xml:space="preserve"> Exercice 2025</w:t>
      </w:r>
    </w:p>
    <w:p w:rsidR="00AA5F32" w:rsidRDefault="00AA5F32" w:rsidP="00AB534B">
      <w:pPr>
        <w:pStyle w:val="NormalWeb"/>
        <w:spacing w:before="0" w:beforeAutospacing="0" w:after="0" w:afterAutospacing="0"/>
        <w:jc w:val="both"/>
      </w:pPr>
      <w:r>
        <w:rPr>
          <w:rStyle w:val="lev"/>
        </w:rPr>
        <w:t>Contexte :</w:t>
      </w:r>
      <w:r>
        <w:t xml:space="preserve"> Autofinancement intégral et gestion sur fonds propres</w:t>
      </w:r>
    </w:p>
    <w:p w:rsidR="00AB534B" w:rsidRDefault="00AB534B" w:rsidP="00AB534B">
      <w:pPr>
        <w:pStyle w:val="Titre3"/>
        <w:spacing w:before="0" w:beforeAutospacing="0" w:after="0" w:afterAutospacing="0"/>
        <w:jc w:val="both"/>
      </w:pPr>
    </w:p>
    <w:p w:rsidR="00AA5F32" w:rsidRDefault="00FB2194" w:rsidP="00AB534B">
      <w:pPr>
        <w:pStyle w:val="Titre3"/>
        <w:spacing w:before="0" w:beforeAutospacing="0" w:after="0" w:afterAutospacing="0"/>
        <w:jc w:val="both"/>
      </w:pPr>
      <w:r>
        <w:t>I. Introduction et Stratégie Financière</w:t>
      </w:r>
    </w:p>
    <w:p w:rsidR="005F72EA" w:rsidRDefault="00AA5F32" w:rsidP="00AB534B">
      <w:pPr>
        <w:pStyle w:val="NormalWeb"/>
        <w:spacing w:before="0" w:beforeAutospacing="0" w:after="0" w:afterAutospacing="0"/>
        <w:jc w:val="both"/>
      </w:pPr>
      <w:r>
        <w:t xml:space="preserve">Pour l'exercice 2025, l'ALUCOVIS-APDD a opéré dans un cadre de </w:t>
      </w:r>
      <w:r>
        <w:rPr>
          <w:rStyle w:val="lev"/>
        </w:rPr>
        <w:t>souveraineté financière totale</w:t>
      </w:r>
      <w:r>
        <w:t xml:space="preserve">. Malgré les crises multiples (carburant, inondations, inflation), l'association n'a bénéficié d'aucun financement extérieur. </w:t>
      </w:r>
    </w:p>
    <w:p w:rsidR="005F72EA" w:rsidRDefault="00AA5F32" w:rsidP="006B2230">
      <w:pPr>
        <w:pStyle w:val="NormalWeb"/>
        <w:jc w:val="both"/>
      </w:pPr>
      <w:r>
        <w:t>Cette autonomie a été rendue possible par</w:t>
      </w:r>
      <w:r w:rsidR="005F72EA">
        <w:t> :</w:t>
      </w:r>
    </w:p>
    <w:p w:rsidR="005F72EA" w:rsidRDefault="005F72EA" w:rsidP="005F72EA">
      <w:pPr>
        <w:pStyle w:val="NormalWeb"/>
        <w:numPr>
          <w:ilvl w:val="0"/>
          <w:numId w:val="10"/>
        </w:numPr>
        <w:jc w:val="both"/>
      </w:pPr>
      <w:r>
        <w:t>L</w:t>
      </w:r>
      <w:r w:rsidR="00AA5F32">
        <w:t xml:space="preserve">a mobilisation des cotisations </w:t>
      </w:r>
      <w:r>
        <w:t xml:space="preserve">et contributions spéciales </w:t>
      </w:r>
      <w:r w:rsidR="00AA5F32">
        <w:t xml:space="preserve">des membres, </w:t>
      </w:r>
    </w:p>
    <w:p w:rsidR="005F72EA" w:rsidRDefault="005F72EA" w:rsidP="005F72EA">
      <w:pPr>
        <w:pStyle w:val="NormalWeb"/>
        <w:numPr>
          <w:ilvl w:val="0"/>
          <w:numId w:val="10"/>
        </w:numPr>
        <w:jc w:val="both"/>
      </w:pPr>
      <w:r>
        <w:t>L</w:t>
      </w:r>
      <w:r w:rsidR="00AA5F32">
        <w:t>e réinvestissement des revenus issus des initiatives d'entrepr</w:t>
      </w:r>
      <w:r>
        <w:t>eneuriat et d'agri-élevage de l’association,</w:t>
      </w:r>
    </w:p>
    <w:p w:rsidR="005F72EA" w:rsidRPr="005F72EA" w:rsidRDefault="005F72EA" w:rsidP="005F72EA">
      <w:pPr>
        <w:pStyle w:val="NormalWeb"/>
        <w:numPr>
          <w:ilvl w:val="0"/>
          <w:numId w:val="10"/>
        </w:numPr>
        <w:jc w:val="both"/>
      </w:pPr>
      <w:r>
        <w:t>L</w:t>
      </w:r>
      <w:r w:rsidR="00AA5F32">
        <w:t xml:space="preserve">e bénévolat constant des équipes </w:t>
      </w:r>
      <w:r>
        <w:t xml:space="preserve">comme  des Points Focaux Provinciaux </w:t>
      </w:r>
      <w:r w:rsidR="00AA5F32">
        <w:t>(PFP</w:t>
      </w:r>
      <w:r>
        <w:t>)</w:t>
      </w:r>
      <w:r w:rsidR="00AA5F32">
        <w:t xml:space="preserve">, Coordonnateurs </w:t>
      </w:r>
      <w:r>
        <w:t xml:space="preserve">régionaux </w:t>
      </w:r>
      <w:r w:rsidR="00AA5F32">
        <w:t>et animateurs</w:t>
      </w:r>
      <w:r>
        <w:t xml:space="preserve"> communautaires</w:t>
      </w:r>
      <w:r w:rsidR="00AA5F32">
        <w:t>).</w:t>
      </w:r>
    </w:p>
    <w:p w:rsidR="00AA5F32" w:rsidRDefault="00FB2194" w:rsidP="006B2230">
      <w:pPr>
        <w:pStyle w:val="Titre3"/>
        <w:jc w:val="both"/>
      </w:pPr>
      <w:r>
        <w:t>II. Analyse des Ressources Mobilisées</w:t>
      </w:r>
    </w:p>
    <w:p w:rsidR="00210247" w:rsidRPr="00AA5F32" w:rsidRDefault="00AA5F32" w:rsidP="000A61BC">
      <w:pPr>
        <w:pStyle w:val="NormalWeb"/>
        <w:jc w:val="both"/>
      </w:pPr>
      <w:r>
        <w:t xml:space="preserve">Le montant total mobilisé pour l'année s'élève à </w:t>
      </w:r>
      <w:r>
        <w:rPr>
          <w:rStyle w:val="lev"/>
        </w:rPr>
        <w:t>76 353 300 BIF</w:t>
      </w:r>
      <w:r>
        <w:t>, calculé sur la base des initiatives internes</w:t>
      </w:r>
      <w:r w:rsidR="000A61BC">
        <w:t>, réparti comme suit :</w:t>
      </w:r>
    </w:p>
    <w:p w:rsidR="00210247" w:rsidRPr="00AA5F32" w:rsidRDefault="00210247" w:rsidP="00210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Cotisations et Contributions Spéciales des Membres :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socle de </w:t>
      </w: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5 241 000 BIF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été mobilisé via les comptes à la COOPEC </w:t>
      </w:r>
      <w:proofErr w:type="spellStart"/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Buganda</w:t>
      </w:r>
      <w:proofErr w:type="spellEnd"/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, démontrant l'engagement personnel des membres envers la mission de l'organisation.</w:t>
      </w:r>
    </w:p>
    <w:p w:rsidR="00210247" w:rsidRPr="00AA5F32" w:rsidRDefault="00210247" w:rsidP="00210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Initiatives d'Entrepreneuriat et Actions Agricoles :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majorité des ressources provient des initiatives d'autonomisation (petits commerces ambulants pour les vulnérables, cultures maraîchères et vivrières</w:t>
      </w:r>
      <w:r w:rsidR="000A61BC">
        <w:rPr>
          <w:rFonts w:ascii="Times New Roman" w:eastAsia="Times New Roman" w:hAnsi="Times New Roman" w:cs="Times New Roman"/>
          <w:sz w:val="24"/>
          <w:szCs w:val="24"/>
          <w:lang w:eastAsia="fr-FR"/>
        </w:rPr>
        <w:t>, approche de l’épargne et crédit interne des membres et ceux de nos environs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). Ces activités ont généré les fonds nécessaires pour couvrir les interventions d'urgence et de plaidoyer.</w:t>
      </w:r>
    </w:p>
    <w:p w:rsidR="00FB2194" w:rsidRDefault="00AB534B" w:rsidP="006B2230">
      <w:pPr>
        <w:pStyle w:val="Titre3"/>
        <w:jc w:val="both"/>
      </w:pPr>
      <w:r>
        <w:rPr>
          <w:noProof/>
        </w:rPr>
        <w:drawing>
          <wp:inline distT="0" distB="0" distL="0" distR="0">
            <wp:extent cx="5753100" cy="272415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A5F32" w:rsidRDefault="00FB2194" w:rsidP="006B2230">
      <w:pPr>
        <w:pStyle w:val="Titre3"/>
        <w:jc w:val="both"/>
      </w:pPr>
      <w:r>
        <w:lastRenderedPageBreak/>
        <w:t>III. Répartition Narrative des Dépenses</w:t>
      </w:r>
    </w:p>
    <w:p w:rsidR="00AA5F32" w:rsidRDefault="00AA5F32" w:rsidP="006B2230">
      <w:pPr>
        <w:pStyle w:val="NormalWeb"/>
        <w:jc w:val="both"/>
      </w:pPr>
      <w:r>
        <w:t>Les fonds ont été alloués à la réponse aux crises climatiques (</w:t>
      </w:r>
      <w:proofErr w:type="spellStart"/>
      <w:r>
        <w:t>Gatumba</w:t>
      </w:r>
      <w:proofErr w:type="spellEnd"/>
      <w:r>
        <w:t>), au plaidoyer pour les victimes de VSBG, au monitoring de la traite des migrants et au lancement de l'École de la Démocratie.</w:t>
      </w:r>
    </w:p>
    <w:p w:rsidR="00C40157" w:rsidRPr="00FB2194" w:rsidRDefault="00C40157" w:rsidP="00C401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43613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Les fonds décaissés ont été strictement alloués aux priorités identifiées dans le rapport d'activités 2025 :</w:t>
      </w:r>
    </w:p>
    <w:p w:rsidR="00C40157" w:rsidRPr="00AA5F32" w:rsidRDefault="00C40157" w:rsidP="00C4015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Réponse aux Crises </w:t>
      </w:r>
      <w:r w:rsidR="0031433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multiples : ‘’Humanitaires et Climatiques’’</w:t>
      </w:r>
    </w:p>
    <w:p w:rsidR="00C40157" w:rsidRPr="00AA5F32" w:rsidRDefault="00C40157" w:rsidP="00C4015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Soutien aux dép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lacés de la zone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Gatumba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installés au Site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Gateri-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Buganda</w:t>
      </w:r>
      <w:proofErr w:type="spellEnd"/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40157" w:rsidRDefault="00C40157" w:rsidP="00C4015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Assistance minimale aux enfants déscolarisés suite aux inondations.</w:t>
      </w:r>
    </w:p>
    <w:p w:rsidR="00436132" w:rsidRPr="00AA5F32" w:rsidRDefault="00436132" w:rsidP="00C4015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Large sensibilisation 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fr-FR"/>
        </w:rPr>
        <w:t>et vulgarisation auprès des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Comités Mixtes des 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écoles,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ECOFO 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fr-FR"/>
        </w:rPr>
        <w:t>et Structures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fr-FR"/>
        </w:rPr>
        <w:t>décentralisées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Ministère en charge de l’Education et celui de la Santé à se doter du matériel 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fr-FR"/>
        </w:rPr>
        <w:t>scolaire adapté au programme et du plan d’alerte précoce axé à la protection,</w:t>
      </w:r>
    </w:p>
    <w:p w:rsidR="00C40157" w:rsidRPr="00AA5F32" w:rsidRDefault="00C40157" w:rsidP="00C4015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Appui aux survivants des éboulements dans les carrières minières (</w:t>
      </w:r>
      <w:r w:rsidR="00492C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écoute, orientation, 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soins de santé de base).</w:t>
      </w:r>
    </w:p>
    <w:p w:rsidR="00C40157" w:rsidRPr="00AA5F32" w:rsidRDefault="00C40157" w:rsidP="00C4015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Plaidoyer et Protection des Droits Humains :</w:t>
      </w:r>
    </w:p>
    <w:p w:rsidR="00C40157" w:rsidRPr="00AA5F32" w:rsidRDefault="00C40157" w:rsidP="00C4015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Prise en charge des dossiers juridiques pour les victimes de VSBG.</w:t>
      </w:r>
    </w:p>
    <w:p w:rsidR="00C40157" w:rsidRPr="00AA5F32" w:rsidRDefault="00C40157" w:rsidP="00C4015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Frais de déplacement pour le monitoring de la traite des personnes et la médiation des conflits fonciers.</w:t>
      </w:r>
    </w:p>
    <w:p w:rsidR="00C40157" w:rsidRPr="00AA5F32" w:rsidRDefault="00C40157" w:rsidP="00C4015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Organisation des cadres de concertation pour la masculinité positive et l'inclusion genre.</w:t>
      </w:r>
    </w:p>
    <w:p w:rsidR="00C40157" w:rsidRPr="00AA5F32" w:rsidRDefault="00C40157" w:rsidP="00C4015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au Développement Durable :</w:t>
      </w:r>
    </w:p>
    <w:p w:rsidR="00C40157" w:rsidRPr="00AA5F32" w:rsidRDefault="00FC10D6" w:rsidP="00C4015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Achat de semences, </w:t>
      </w:r>
      <w:r w:rsidR="00C40157"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acquisition d'engrais (malgré les ruptures de stock de la FOMI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mains d’œuvre associées à nos forces en présence</w:t>
      </w:r>
      <w:r w:rsidR="00C40157"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C40157" w:rsidRPr="00C40157" w:rsidRDefault="00C40157" w:rsidP="006B223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Lancement d</w:t>
      </w:r>
      <w:r w:rsidR="001935F9">
        <w:rPr>
          <w:rFonts w:ascii="Times New Roman" w:eastAsia="Times New Roman" w:hAnsi="Times New Roman" w:cs="Times New Roman"/>
          <w:sz w:val="24"/>
          <w:szCs w:val="24"/>
          <w:lang w:eastAsia="fr-FR"/>
        </w:rPr>
        <w:t>’appel d’</w:t>
      </w:r>
      <w:r w:rsidR="0084144C">
        <w:rPr>
          <w:rFonts w:ascii="Times New Roman" w:eastAsia="Times New Roman" w:hAnsi="Times New Roman" w:cs="Times New Roman"/>
          <w:sz w:val="24"/>
          <w:szCs w:val="24"/>
          <w:lang w:eastAsia="fr-FR"/>
        </w:rPr>
        <w:t>action, d’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études préliminaires pour l'École de la Démocratie et de la Citoyenneté Responsable.</w:t>
      </w:r>
    </w:p>
    <w:p w:rsidR="00AA5F32" w:rsidRDefault="00AB534B" w:rsidP="006B2230">
      <w:pPr>
        <w:pStyle w:val="Titre3"/>
        <w:jc w:val="both"/>
      </w:pPr>
      <w:r>
        <w:t>IV</w:t>
      </w:r>
      <w:r w:rsidR="00FB2194">
        <w:t>. Audit Interne, Suivi-Évaluation et Conformité au Plan d'action</w:t>
      </w:r>
    </w:p>
    <w:p w:rsidR="00AA5F32" w:rsidRDefault="00AA5F32" w:rsidP="006B2230">
      <w:pPr>
        <w:pStyle w:val="NormalWeb"/>
        <w:jc w:val="both"/>
      </w:pPr>
      <w:r>
        <w:t xml:space="preserve">L'ALUCOVIS-APDD a mis en place un mécanisme rigoureux de </w:t>
      </w:r>
      <w:r>
        <w:rPr>
          <w:rStyle w:val="lev"/>
        </w:rPr>
        <w:t>Suivi et Évaluation (S&amp;E)</w:t>
      </w:r>
      <w:r>
        <w:t xml:space="preserve"> pour mesurer l'impact de ses interventions bénévoles. Un processus d'audit interne a été mené pour évaluer la conformité des dépenses par rapport au Plan d'Action Annuel 2025.</w:t>
      </w:r>
    </w:p>
    <w:p w:rsidR="00AA5F32" w:rsidRDefault="00AA5F32" w:rsidP="006B2230">
      <w:pPr>
        <w:pStyle w:val="NormalWeb"/>
        <w:jc w:val="both"/>
      </w:pPr>
      <w:r>
        <w:rPr>
          <w:rStyle w:val="lev"/>
        </w:rPr>
        <w:t>1. Évaluation du Plan d'Action :</w:t>
      </w:r>
    </w:p>
    <w:p w:rsidR="00FA5402" w:rsidRDefault="00AA5F32" w:rsidP="00FA5402">
      <w:pPr>
        <w:pStyle w:val="NormalWeb"/>
        <w:jc w:val="both"/>
      </w:pPr>
      <w:r>
        <w:rPr>
          <w:rStyle w:val="lev"/>
        </w:rPr>
        <w:t>Objectifs Atteints :</w:t>
      </w:r>
      <w:r>
        <w:t xml:space="preserve"> </w:t>
      </w:r>
    </w:p>
    <w:p w:rsidR="00FA5402" w:rsidRDefault="00AA5F32" w:rsidP="00FA5402">
      <w:pPr>
        <w:pStyle w:val="NormalWeb"/>
        <w:numPr>
          <w:ilvl w:val="0"/>
          <w:numId w:val="12"/>
        </w:numPr>
        <w:jc w:val="both"/>
      </w:pPr>
      <w:r>
        <w:t xml:space="preserve">Grâce à l'engagement militant, les activités liées à la protection des droits humains, à l'assistance d'urgence aux sinistrés de </w:t>
      </w:r>
      <w:proofErr w:type="spellStart"/>
      <w:r>
        <w:t>Gatumba</w:t>
      </w:r>
      <w:proofErr w:type="spellEnd"/>
      <w:r w:rsidR="00A60C1A">
        <w:t xml:space="preserve">, </w:t>
      </w:r>
    </w:p>
    <w:p w:rsidR="00FA5402" w:rsidRDefault="00FA5402" w:rsidP="00FA5402">
      <w:pPr>
        <w:pStyle w:val="NormalWeb"/>
        <w:numPr>
          <w:ilvl w:val="0"/>
          <w:numId w:val="12"/>
        </w:numPr>
        <w:jc w:val="both"/>
      </w:pPr>
      <w:r>
        <w:t>P</w:t>
      </w:r>
      <w:r w:rsidR="00A60C1A">
        <w:t>laidoyer sur l’alerte précoce des violations aux crimes constatés dans la zone transfronta</w:t>
      </w:r>
      <w:r>
        <w:t xml:space="preserve">lière RD Congo et Burundi à titre de trafics illicites/fraudes passant dans </w:t>
      </w:r>
      <w:r w:rsidR="00801943">
        <w:t xml:space="preserve">la rivière </w:t>
      </w:r>
      <w:proofErr w:type="spellStart"/>
      <w:r w:rsidR="00801943">
        <w:t>Rusizi</w:t>
      </w:r>
      <w:proofErr w:type="spellEnd"/>
      <w:r w:rsidR="00801943">
        <w:t>, et de la traite des personnes et des migrants vers les pays de Golf en Asie.</w:t>
      </w:r>
    </w:p>
    <w:p w:rsidR="00AA5F32" w:rsidRDefault="00FA5402" w:rsidP="00FA5402">
      <w:pPr>
        <w:pStyle w:val="NormalWeb"/>
        <w:numPr>
          <w:ilvl w:val="0"/>
          <w:numId w:val="12"/>
        </w:numPr>
        <w:jc w:val="both"/>
      </w:pPr>
      <w:r>
        <w:t>P</w:t>
      </w:r>
      <w:r w:rsidR="00AA5F32">
        <w:t xml:space="preserve">laidoyer sécuritaire (Brigade </w:t>
      </w:r>
      <w:proofErr w:type="spellStart"/>
      <w:r w:rsidR="00AA5F32">
        <w:t>Anti-Crime</w:t>
      </w:r>
      <w:proofErr w:type="spellEnd"/>
      <w:r w:rsidR="00AA5F32">
        <w:t>) ont été réalisées conformément aux prévisions, malgré l'absence de subventions.</w:t>
      </w:r>
    </w:p>
    <w:p w:rsidR="00FB2194" w:rsidRDefault="00FB2194" w:rsidP="00FA5402">
      <w:pPr>
        <w:pStyle w:val="NormalWeb"/>
        <w:jc w:val="both"/>
        <w:rPr>
          <w:rStyle w:val="lev"/>
        </w:rPr>
      </w:pPr>
    </w:p>
    <w:p w:rsidR="00FA5402" w:rsidRDefault="00AA5F32" w:rsidP="00FA5402">
      <w:pPr>
        <w:pStyle w:val="NormalWeb"/>
        <w:jc w:val="both"/>
      </w:pPr>
      <w:r>
        <w:rPr>
          <w:rStyle w:val="lev"/>
        </w:rPr>
        <w:t>Activités Non Atteintes (Contrainte de fonds externes) :</w:t>
      </w:r>
      <w:r>
        <w:t xml:space="preserve"> </w:t>
      </w:r>
    </w:p>
    <w:p w:rsidR="00AA5F32" w:rsidRDefault="00AA5F32" w:rsidP="00FB2194">
      <w:pPr>
        <w:pStyle w:val="NormalWeb"/>
        <w:spacing w:before="0" w:beforeAutospacing="0" w:after="0" w:afterAutospacing="0"/>
        <w:jc w:val="both"/>
      </w:pPr>
      <w:r>
        <w:t>L'audit souligne qu'un nombre important d'activités ambitieuses prévues dans le plan d'action n'ont pas pu être exécutées. Celles-ci visaient spécifiquement des financements externes pour l'acquisition de technologies de pointe (drones de surveillance des carrières), la construction</w:t>
      </w:r>
      <w:r w:rsidR="0014640D">
        <w:t xml:space="preserve"> ou de réhabilitation </w:t>
      </w:r>
      <w:r>
        <w:t xml:space="preserve">d'infrastructures </w:t>
      </w:r>
      <w:r w:rsidR="0014640D">
        <w:t xml:space="preserve">des Ecoles Fondamentales (ECOFO) et </w:t>
      </w:r>
      <w:r>
        <w:t>pour l'École de la Démocratie et l'élargissement massif de la couverture scolaire pour les déplacés.</w:t>
      </w:r>
    </w:p>
    <w:p w:rsidR="00FB2194" w:rsidRDefault="00FB2194" w:rsidP="00FB2194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:rsidR="00FA5402" w:rsidRDefault="00AA5F32" w:rsidP="00FB2194">
      <w:pPr>
        <w:pStyle w:val="NormalWeb"/>
        <w:spacing w:before="0" w:beforeAutospacing="0" w:after="0" w:afterAutospacing="0"/>
        <w:jc w:val="both"/>
      </w:pPr>
      <w:r>
        <w:rPr>
          <w:rStyle w:val="lev"/>
        </w:rPr>
        <w:t xml:space="preserve">2. Transparence et </w:t>
      </w:r>
      <w:proofErr w:type="spellStart"/>
      <w:r>
        <w:rPr>
          <w:rStyle w:val="lev"/>
        </w:rPr>
        <w:t>Redevabilité</w:t>
      </w:r>
      <w:proofErr w:type="spellEnd"/>
      <w:r>
        <w:rPr>
          <w:rStyle w:val="lev"/>
        </w:rPr>
        <w:t xml:space="preserve"> :</w:t>
      </w:r>
      <w:r>
        <w:t xml:space="preserve"> </w:t>
      </w:r>
    </w:p>
    <w:p w:rsidR="00AA5F32" w:rsidRDefault="00AA5F32" w:rsidP="00FB2194">
      <w:pPr>
        <w:pStyle w:val="NormalWeb"/>
        <w:spacing w:before="0" w:beforeAutospacing="0" w:after="0" w:afterAutospacing="0"/>
        <w:jc w:val="both"/>
      </w:pPr>
      <w:r>
        <w:t>L'évaluation interne confirme que 100% des fonds propres collectés ont été injectés dans les interventions de terrain. Cette rigueur comptable démontre la capacité de l'ALUCOVIS-APDD à gérer des ressources avec efficience, tout en identifiant clairement les besoins qui nécessitent un levier financier international pour passer à l'échelle supérieure.</w:t>
      </w:r>
    </w:p>
    <w:p w:rsidR="00FB2194" w:rsidRDefault="00FB2194" w:rsidP="00FB2194">
      <w:pPr>
        <w:pStyle w:val="Titre3"/>
        <w:spacing w:before="0" w:beforeAutospacing="0" w:after="0" w:afterAutospacing="0"/>
        <w:jc w:val="both"/>
      </w:pPr>
    </w:p>
    <w:p w:rsidR="00AA5F32" w:rsidRDefault="00FB2194" w:rsidP="00FB2194">
      <w:pPr>
        <w:pStyle w:val="Titre3"/>
        <w:spacing w:before="0" w:beforeAutospacing="0" w:after="0" w:afterAutospacing="0"/>
        <w:jc w:val="both"/>
      </w:pPr>
      <w:r>
        <w:t>V. Transparence et Gestion des Comptes</w:t>
      </w:r>
    </w:p>
    <w:p w:rsidR="009A1A63" w:rsidRPr="009A1A63" w:rsidRDefault="009A1A63" w:rsidP="00FB2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L'ALUCOVIS-APDD maintient une structure bancaire rigoureuse pour assurer la traçabilité :</w:t>
      </w:r>
    </w:p>
    <w:p w:rsidR="00AA5F32" w:rsidRDefault="00AA5F32" w:rsidP="00FB219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rStyle w:val="lev"/>
        </w:rPr>
        <w:t xml:space="preserve">Comptes </w:t>
      </w:r>
      <w:r w:rsidR="00FA5402">
        <w:rPr>
          <w:rStyle w:val="lev"/>
        </w:rPr>
        <w:t>ouver</w:t>
      </w:r>
      <w:r w:rsidR="009A1A63">
        <w:rPr>
          <w:rStyle w:val="lev"/>
        </w:rPr>
        <w:t xml:space="preserve">ts auprès de la Banque Centrale et/ou de la République </w:t>
      </w:r>
      <w:r w:rsidR="00FA5402">
        <w:rPr>
          <w:rStyle w:val="lev"/>
        </w:rPr>
        <w:t>du Burundi</w:t>
      </w:r>
      <w:r w:rsidR="009A1A63">
        <w:rPr>
          <w:rStyle w:val="lev"/>
        </w:rPr>
        <w:t xml:space="preserve"> </w:t>
      </w:r>
      <w:r w:rsidR="00A9668E">
        <w:rPr>
          <w:rStyle w:val="lev"/>
        </w:rPr>
        <w:t>‘’</w:t>
      </w:r>
      <w:r>
        <w:rPr>
          <w:rStyle w:val="lev"/>
        </w:rPr>
        <w:t>BRB</w:t>
      </w:r>
      <w:r w:rsidR="00A9668E">
        <w:rPr>
          <w:rStyle w:val="lev"/>
        </w:rPr>
        <w:t>’’</w:t>
      </w:r>
      <w:r>
        <w:rPr>
          <w:rStyle w:val="lev"/>
        </w:rPr>
        <w:t xml:space="preserve"> (</w:t>
      </w:r>
      <w:r w:rsidR="009A1A63">
        <w:rPr>
          <w:rStyle w:val="lev"/>
        </w:rPr>
        <w:t>en</w:t>
      </w:r>
      <w:r w:rsidR="00A9668E">
        <w:rPr>
          <w:rStyle w:val="lev"/>
        </w:rPr>
        <w:t xml:space="preserve"> devise : Euro et</w:t>
      </w:r>
      <w:r w:rsidR="009A1A63">
        <w:rPr>
          <w:rStyle w:val="lev"/>
        </w:rPr>
        <w:t xml:space="preserve"> </w:t>
      </w:r>
      <w:r>
        <w:rPr>
          <w:rStyle w:val="lev"/>
        </w:rPr>
        <w:t>Dollar) :</w:t>
      </w:r>
      <w:r>
        <w:t xml:space="preserve"> Soldes nuls mais</w:t>
      </w:r>
      <w:bookmarkStart w:id="0" w:name="_GoBack"/>
      <w:bookmarkEnd w:id="0"/>
      <w:r>
        <w:t xml:space="preserve"> opérationnels pour de futurs partenariats.</w:t>
      </w:r>
    </w:p>
    <w:p w:rsidR="009A1A63" w:rsidRDefault="009A1A63" w:rsidP="00FB219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rStyle w:val="lev"/>
        </w:rPr>
        <w:t>Compte ouvert à la</w:t>
      </w:r>
      <w:r w:rsidR="00AA5F32">
        <w:rPr>
          <w:rStyle w:val="lev"/>
        </w:rPr>
        <w:t xml:space="preserve"> COOPEC </w:t>
      </w:r>
      <w:proofErr w:type="spellStart"/>
      <w:r w:rsidR="00AA5F32">
        <w:rPr>
          <w:rStyle w:val="lev"/>
        </w:rPr>
        <w:t>Buganda</w:t>
      </w:r>
      <w:proofErr w:type="spellEnd"/>
      <w:r w:rsidR="00AA5F32">
        <w:rPr>
          <w:rStyle w:val="lev"/>
        </w:rPr>
        <w:t xml:space="preserve"> (</w:t>
      </w:r>
      <w:r>
        <w:rPr>
          <w:rStyle w:val="lev"/>
        </w:rPr>
        <w:t xml:space="preserve">en </w:t>
      </w:r>
      <w:r w:rsidR="00AA5F32">
        <w:rPr>
          <w:rStyle w:val="lev"/>
        </w:rPr>
        <w:t>BIF) :</w:t>
      </w:r>
      <w:r w:rsidR="00AA5F32">
        <w:t xml:space="preserve"> </w:t>
      </w:r>
      <w:r w:rsidRPr="00AA5F32">
        <w:t>Utilisés pour la gestion quotidienne des cotisations et des revenus des m</w:t>
      </w:r>
      <w:r>
        <w:t>icro-projets donc devient un p</w:t>
      </w:r>
      <w:r w:rsidR="00AA5F32">
        <w:t>ivot central de la gestion des fonds propres.</w:t>
      </w:r>
    </w:p>
    <w:p w:rsidR="00FB2194" w:rsidRDefault="00FB2194" w:rsidP="00FB2194">
      <w:pPr>
        <w:pStyle w:val="Titre3"/>
        <w:spacing w:before="0" w:beforeAutospacing="0" w:after="0" w:afterAutospacing="0"/>
        <w:jc w:val="both"/>
      </w:pPr>
    </w:p>
    <w:p w:rsidR="00AA5F32" w:rsidRDefault="00FB2194" w:rsidP="00FB2194">
      <w:pPr>
        <w:pStyle w:val="Titre3"/>
        <w:spacing w:before="0" w:beforeAutospacing="0" w:after="0" w:afterAutospacing="0"/>
        <w:jc w:val="both"/>
      </w:pPr>
      <w:r>
        <w:t>VI. Défis Financiers et Recommandations</w:t>
      </w:r>
    </w:p>
    <w:p w:rsidR="00A9668E" w:rsidRDefault="00F16989" w:rsidP="00FB2194">
      <w:pPr>
        <w:pStyle w:val="NormalWeb"/>
        <w:spacing w:before="0" w:beforeAutospacing="0" w:after="0" w:afterAutospacing="0"/>
        <w:jc w:val="both"/>
      </w:pPr>
      <w:r w:rsidRPr="00F16989">
        <w:rPr>
          <w:rStyle w:val="Titre3Car"/>
          <w:color w:val="0070C0"/>
        </w:rPr>
        <w:t>Défis financiers :</w:t>
      </w:r>
      <w:r w:rsidRPr="00F16989">
        <w:rPr>
          <w:color w:val="0070C0"/>
        </w:rPr>
        <w:t xml:space="preserve"> </w:t>
      </w:r>
      <w:r w:rsidR="00AA5F32">
        <w:t>Le modèle d'autofinancement souligne la résilience de l'association mais atteint ses limites face aux catastrophes majeures</w:t>
      </w:r>
      <w:r w:rsidR="00A9668E">
        <w:t xml:space="preserve"> dont en partie citons des </w:t>
      </w:r>
      <w:r w:rsidR="00A9668E" w:rsidRPr="00AA5F32">
        <w:t xml:space="preserve">inondations de </w:t>
      </w:r>
      <w:proofErr w:type="spellStart"/>
      <w:r w:rsidR="00A9668E" w:rsidRPr="00AA5F32">
        <w:t>Gatumba</w:t>
      </w:r>
      <w:proofErr w:type="spellEnd"/>
      <w:r w:rsidR="00A9668E" w:rsidRPr="00AA5F32">
        <w:t xml:space="preserve">, </w:t>
      </w:r>
      <w:r w:rsidR="00A9668E">
        <w:t xml:space="preserve">les </w:t>
      </w:r>
      <w:r w:rsidR="00A9668E" w:rsidRPr="00AA5F32">
        <w:t>15 décès d'orpailleurs).</w:t>
      </w:r>
      <w:r w:rsidR="00A9668E">
        <w:t xml:space="preserve"> </w:t>
      </w:r>
    </w:p>
    <w:p w:rsidR="00A9668E" w:rsidRPr="00AA5F32" w:rsidRDefault="00AA5F32" w:rsidP="00FB2194">
      <w:pPr>
        <w:pStyle w:val="NormalWeb"/>
        <w:spacing w:before="0" w:beforeAutospacing="0" w:after="0" w:afterAutospacing="0"/>
        <w:jc w:val="both"/>
      </w:pPr>
      <w:r>
        <w:t xml:space="preserve">L'investissement de </w:t>
      </w:r>
      <w:r>
        <w:rPr>
          <w:rStyle w:val="lev"/>
        </w:rPr>
        <w:t>76 353 300 BIF</w:t>
      </w:r>
      <w:r>
        <w:t xml:space="preserve"> est un gage de crédibilité pour tout partenaire souhaitant appuyer une structure qui a déjà fait ses </w:t>
      </w:r>
      <w:r w:rsidR="007B303D">
        <w:t>preuves de manière indépendante comme l’ALUCOVIS-APDD.</w:t>
      </w:r>
    </w:p>
    <w:p w:rsidR="00A9668E" w:rsidRPr="00F16989" w:rsidRDefault="00A9668E" w:rsidP="00FB2194">
      <w:pPr>
        <w:pStyle w:val="Titre3"/>
        <w:rPr>
          <w:color w:val="0070C0"/>
        </w:rPr>
      </w:pPr>
      <w:r w:rsidRPr="00F16989">
        <w:rPr>
          <w:color w:val="0070C0"/>
        </w:rPr>
        <w:t>Recommandatio</w:t>
      </w:r>
      <w:r w:rsidR="00F16989" w:rsidRPr="00F16989">
        <w:rPr>
          <w:color w:val="0070C0"/>
        </w:rPr>
        <w:t>ns financières :</w:t>
      </w:r>
    </w:p>
    <w:p w:rsidR="00A9668E" w:rsidRPr="00AA5F32" w:rsidRDefault="00A9668E" w:rsidP="00FB2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l'ALUCOVIS-APDD :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Continuer à renforcer les "AVEC" (Associations Villageoises d'Épargne et de Crédit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les mobilisant de se constituer en Coopérative de production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) pour accroître la résilience des membres.</w:t>
      </w:r>
    </w:p>
    <w:p w:rsidR="00FB2194" w:rsidRDefault="00FB2194" w:rsidP="00FB2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9668E" w:rsidRDefault="00A9668E" w:rsidP="00FB2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Aux Partenaires (Futurs) :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montant de </w:t>
      </w:r>
      <w:r w:rsidRPr="00AA5F3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76 353 300 BIF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investi sur fonds propres constitue une preuve de capacité de gestion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investi dans des projets interne des membres et autres associés</w:t>
      </w: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9668E" w:rsidRPr="00FB2194" w:rsidRDefault="00A9668E" w:rsidP="00FB2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5F32">
        <w:rPr>
          <w:rFonts w:ascii="Times New Roman" w:eastAsia="Times New Roman" w:hAnsi="Times New Roman" w:cs="Times New Roman"/>
          <w:sz w:val="24"/>
          <w:szCs w:val="24"/>
          <w:lang w:eastAsia="fr-FR"/>
        </w:rPr>
        <w:t>Un appui extérieur permettrait de multiplier par dix l'impact de nos actions, notamment pour l'acquisition de technologies de surveillance (drones) et le soutien à la scolarisation massive.</w:t>
      </w:r>
    </w:p>
    <w:p w:rsidR="00FB2194" w:rsidRDefault="00FB2194" w:rsidP="00FB2194">
      <w:pPr>
        <w:pStyle w:val="NormalWeb"/>
        <w:spacing w:before="0" w:beforeAutospacing="0" w:after="0" w:afterAutospacing="0"/>
        <w:jc w:val="right"/>
        <w:rPr>
          <w:rStyle w:val="Accentuation"/>
        </w:rPr>
      </w:pPr>
    </w:p>
    <w:p w:rsidR="00AA5F32" w:rsidRDefault="00AA5F32" w:rsidP="00FB2194">
      <w:pPr>
        <w:pStyle w:val="NormalWeb"/>
        <w:spacing w:before="0" w:beforeAutospacing="0" w:after="0" w:afterAutospacing="0"/>
        <w:jc w:val="right"/>
      </w:pPr>
      <w:r>
        <w:rPr>
          <w:rStyle w:val="Accentuation"/>
        </w:rPr>
        <w:t xml:space="preserve">Fait à </w:t>
      </w:r>
      <w:proofErr w:type="spellStart"/>
      <w:r>
        <w:rPr>
          <w:rStyle w:val="Accentuation"/>
        </w:rPr>
        <w:t>Buganda</w:t>
      </w:r>
      <w:proofErr w:type="spellEnd"/>
      <w:r>
        <w:rPr>
          <w:rStyle w:val="Accentuation"/>
        </w:rPr>
        <w:t>, le 31 Janvier 2026</w:t>
      </w:r>
    </w:p>
    <w:p w:rsidR="00AA374D" w:rsidRPr="00AA374D" w:rsidRDefault="00AA374D" w:rsidP="00FB2194">
      <w:pPr>
        <w:pStyle w:val="NormalWeb"/>
        <w:spacing w:before="0" w:beforeAutospacing="0" w:after="0" w:afterAutospacing="0"/>
        <w:jc w:val="both"/>
        <w:rPr>
          <w:b/>
        </w:rPr>
      </w:pPr>
      <w:r w:rsidRPr="00AA374D">
        <w:rPr>
          <w:rStyle w:val="lev"/>
          <w:b w:val="0"/>
        </w:rPr>
        <w:t>Ap</w:t>
      </w:r>
      <w:r w:rsidR="00503017">
        <w:rPr>
          <w:rStyle w:val="lev"/>
          <w:b w:val="0"/>
        </w:rPr>
        <w:t>prouvé par le Président du Conseil d’Administration</w:t>
      </w:r>
      <w:r>
        <w:rPr>
          <w:b/>
        </w:rPr>
        <w:t xml:space="preserve">   </w:t>
      </w:r>
      <w:r w:rsidRPr="00AA374D">
        <w:rPr>
          <w:b/>
        </w:rPr>
        <w:t xml:space="preserve">  </w:t>
      </w:r>
      <w:r w:rsidR="00AA5F32" w:rsidRPr="00AA374D">
        <w:rPr>
          <w:rStyle w:val="lev"/>
          <w:b w:val="0"/>
        </w:rPr>
        <w:t>Le Trésorier de l'ALUCOVIS-APDD</w:t>
      </w:r>
      <w:r w:rsidR="00AA5F32" w:rsidRPr="00AA374D">
        <w:rPr>
          <w:b/>
        </w:rPr>
        <w:t xml:space="preserve"> </w:t>
      </w:r>
      <w:r w:rsidRPr="00AA374D">
        <w:rPr>
          <w:b/>
        </w:rPr>
        <w:t xml:space="preserve"> </w:t>
      </w:r>
      <w:r w:rsidR="00503017">
        <w:t xml:space="preserve">ou </w:t>
      </w:r>
      <w:r w:rsidRPr="00AA374D">
        <w:t>Directeur Exécutif :</w:t>
      </w:r>
      <w:r w:rsidRPr="00AA374D">
        <w:rPr>
          <w:b/>
        </w:rPr>
        <w:t xml:space="preserve">                                                     </w:t>
      </w:r>
      <w:r w:rsidR="00503017">
        <w:rPr>
          <w:b/>
        </w:rPr>
        <w:t xml:space="preserve">            </w:t>
      </w:r>
      <w:r w:rsidRPr="00AA374D">
        <w:rPr>
          <w:b/>
        </w:rPr>
        <w:t>Mlle KIGWASA Claudine</w:t>
      </w:r>
      <w:r>
        <w:rPr>
          <w:b/>
        </w:rPr>
        <w:t xml:space="preserve">           </w:t>
      </w:r>
      <w:r w:rsidR="00FB2194">
        <w:rPr>
          <w:b/>
        </w:rPr>
        <w:t xml:space="preserve"> </w:t>
      </w:r>
    </w:p>
    <w:sectPr w:rsidR="00AA374D" w:rsidRPr="00AA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0FE"/>
    <w:multiLevelType w:val="multilevel"/>
    <w:tmpl w:val="3AE0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35611"/>
    <w:multiLevelType w:val="multilevel"/>
    <w:tmpl w:val="0684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D0CB1"/>
    <w:multiLevelType w:val="multilevel"/>
    <w:tmpl w:val="4C8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C52CE"/>
    <w:multiLevelType w:val="hybridMultilevel"/>
    <w:tmpl w:val="0034046E"/>
    <w:lvl w:ilvl="0" w:tplc="4974479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D6ECA"/>
    <w:multiLevelType w:val="multilevel"/>
    <w:tmpl w:val="F0EE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F64D0"/>
    <w:multiLevelType w:val="hybridMultilevel"/>
    <w:tmpl w:val="9D56892E"/>
    <w:lvl w:ilvl="0" w:tplc="4974479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7EFB"/>
    <w:multiLevelType w:val="multilevel"/>
    <w:tmpl w:val="6F52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14E1C"/>
    <w:multiLevelType w:val="multilevel"/>
    <w:tmpl w:val="F0EE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BC662D"/>
    <w:multiLevelType w:val="multilevel"/>
    <w:tmpl w:val="4E36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E5825"/>
    <w:multiLevelType w:val="multilevel"/>
    <w:tmpl w:val="7FC2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E2953"/>
    <w:multiLevelType w:val="multilevel"/>
    <w:tmpl w:val="3AE0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B4456B"/>
    <w:multiLevelType w:val="multilevel"/>
    <w:tmpl w:val="C3DA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32"/>
    <w:rsid w:val="00084B71"/>
    <w:rsid w:val="000A61BC"/>
    <w:rsid w:val="001211E2"/>
    <w:rsid w:val="0014640D"/>
    <w:rsid w:val="00146E19"/>
    <w:rsid w:val="001935F9"/>
    <w:rsid w:val="00210247"/>
    <w:rsid w:val="00314337"/>
    <w:rsid w:val="00436132"/>
    <w:rsid w:val="00492C53"/>
    <w:rsid w:val="00503017"/>
    <w:rsid w:val="005F72EA"/>
    <w:rsid w:val="00641266"/>
    <w:rsid w:val="006B2230"/>
    <w:rsid w:val="007B303D"/>
    <w:rsid w:val="00801943"/>
    <w:rsid w:val="0084144C"/>
    <w:rsid w:val="00966CF1"/>
    <w:rsid w:val="009A1A63"/>
    <w:rsid w:val="00A60C1A"/>
    <w:rsid w:val="00A9668E"/>
    <w:rsid w:val="00AA374D"/>
    <w:rsid w:val="00AA5F32"/>
    <w:rsid w:val="00AB534B"/>
    <w:rsid w:val="00B06B4F"/>
    <w:rsid w:val="00C40157"/>
    <w:rsid w:val="00E44C2C"/>
    <w:rsid w:val="00EA4A30"/>
    <w:rsid w:val="00EB487B"/>
    <w:rsid w:val="00F16989"/>
    <w:rsid w:val="00FA5402"/>
    <w:rsid w:val="00FB2194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C0EBD-8756-4420-A84D-E9D03DE0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68E"/>
  </w:style>
  <w:style w:type="paragraph" w:styleId="Titre1">
    <w:name w:val="heading 1"/>
    <w:basedOn w:val="Normal"/>
    <w:link w:val="Titre1Car"/>
    <w:uiPriority w:val="9"/>
    <w:qFormat/>
    <w:rsid w:val="00AA5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A5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A5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F3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A5F3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A5F3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AA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A5F32"/>
    <w:rPr>
      <w:b/>
      <w:bCs/>
    </w:rPr>
  </w:style>
  <w:style w:type="character" w:styleId="Accentuation">
    <w:name w:val="Emphasis"/>
    <w:basedOn w:val="Policepardfaut"/>
    <w:uiPriority w:val="20"/>
    <w:qFormat/>
    <w:rsid w:val="00AA5F3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50"/>
                </a:solidFill>
                <a:latin typeface="+mn-lt"/>
                <a:ea typeface="+mn-ea"/>
                <a:cs typeface="+mn-cs"/>
              </a:defRPr>
            </a:pPr>
            <a:r>
              <a:rPr lang="fr-FR" sz="1200" b="0">
                <a:solidFill>
                  <a:srgbClr val="00B050"/>
                </a:solidFill>
              </a:rPr>
              <a:t>Graphique de taux de réalissation ALUCOVIS-APDD, prévision budgétaire du plan d'action 2025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rgbClr val="00B050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Développement agricole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Feuil1!$A$2:$A$5</c:f>
              <c:strCache>
                <c:ptCount val="4"/>
                <c:pt idx="0">
                  <c:v>Fonds propre</c:v>
                </c:pt>
                <c:pt idx="1">
                  <c:v>Fonds externe</c:v>
                </c:pt>
                <c:pt idx="2">
                  <c:v>Contribution Admnistration</c:v>
                </c:pt>
                <c:pt idx="3">
                  <c:v>Contribution réseaux membres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56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Développement de l'entrepreneuriat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Feuil1!$A$2:$A$5</c:f>
              <c:strCache>
                <c:ptCount val="4"/>
                <c:pt idx="0">
                  <c:v>Fonds propre</c:v>
                </c:pt>
                <c:pt idx="1">
                  <c:v>Fonds externe</c:v>
                </c:pt>
                <c:pt idx="2">
                  <c:v>Contribution Admnistration</c:v>
                </c:pt>
                <c:pt idx="3">
                  <c:v>Contribution réseaux membres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19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Contre violations et/ou crimes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Feuil1!$A$2:$A$5</c:f>
              <c:strCache>
                <c:ptCount val="4"/>
                <c:pt idx="0">
                  <c:v>Fonds propre</c:v>
                </c:pt>
                <c:pt idx="1">
                  <c:v>Fonds externe</c:v>
                </c:pt>
                <c:pt idx="2">
                  <c:v>Contribution Admnistration</c:v>
                </c:pt>
                <c:pt idx="3">
                  <c:v>Contribution réseaux membres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25</c:v>
                </c:pt>
                <c:pt idx="1">
                  <c:v>0</c:v>
                </c:pt>
                <c:pt idx="2">
                  <c:v>10</c:v>
                </c:pt>
                <c:pt idx="3">
                  <c:v>13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92670768"/>
        <c:axId val="292674032"/>
      </c:lineChart>
      <c:catAx>
        <c:axId val="29267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92674032"/>
        <c:crosses val="autoZero"/>
        <c:auto val="1"/>
        <c:lblAlgn val="ctr"/>
        <c:lblOffset val="100"/>
        <c:noMultiLvlLbl val="0"/>
      </c:catAx>
      <c:valAx>
        <c:axId val="29267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9267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1053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19</vt:i4>
      </vt:variant>
    </vt:vector>
  </HeadingPairs>
  <TitlesOfParts>
    <vt:vector size="20" baseType="lpstr">
      <vt:lpstr/>
      <vt:lpstr>        RAPPORT NARRATIF FINANCIER 2025</vt:lpstr>
      <vt:lpstr>        Nom de l’organisation : Association de Lutte Contre les Violences Sexuelles et A</vt:lpstr>
      <vt:lpstr>        </vt:lpstr>
      <vt:lpstr>        I. Introduction et Stratégie Financière</vt:lpstr>
      <vt:lpstr>        II. Analyse des Ressources Mobilisées</vt:lpstr>
      <vt:lpstr>        /</vt:lpstr>
      <vt:lpstr>        </vt:lpstr>
      <vt:lpstr>        </vt:lpstr>
      <vt:lpstr>        </vt:lpstr>
      <vt:lpstr>        </vt:lpstr>
      <vt:lpstr>        </vt:lpstr>
      <vt:lpstr>        </vt:lpstr>
      <vt:lpstr>        III. Répartition Narrative des Dépenses</vt:lpstr>
      <vt:lpstr>        IV. Audit Interne, Suivi-Évaluation et Conformité au Plan d'action</vt:lpstr>
      <vt:lpstr>        </vt:lpstr>
      <vt:lpstr>        V. Transparence et Gestion des Comptes</vt:lpstr>
      <vt:lpstr>        </vt:lpstr>
      <vt:lpstr>        VI. Défis Financiers et Recommandations</vt:lpstr>
      <vt:lpstr>        Recommandations financières :</vt:lpstr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cp:lastPrinted>2026-02-12T10:23:00Z</cp:lastPrinted>
  <dcterms:created xsi:type="dcterms:W3CDTF">2026-02-06T13:56:00Z</dcterms:created>
  <dcterms:modified xsi:type="dcterms:W3CDTF">2026-02-12T10:25:00Z</dcterms:modified>
</cp:coreProperties>
</file>