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04341716"/>
        <w:docPartObj>
          <w:docPartGallery w:val="Cover Pages"/>
          <w:docPartUnique/>
        </w:docPartObj>
      </w:sdtPr>
      <w:sdtEndPr/>
      <w:sdtContent>
        <w:p w:rsidR="00FC32BC" w:rsidRPr="0078675C" w:rsidRDefault="00FC32BC" w:rsidP="00FC32BC">
          <w:pPr>
            <w:tabs>
              <w:tab w:val="left" w:pos="3720"/>
            </w:tabs>
            <w:jc w:val="both"/>
            <w:rPr>
              <w:color w:val="00B0F0"/>
            </w:rPr>
          </w:pPr>
          <w:r w:rsidRPr="00D01463">
            <w:rPr>
              <w:noProof/>
              <w:color w:val="00B0F0"/>
              <w:sz w:val="20"/>
              <w:u w:val="single"/>
              <w:lang w:eastAsia="fr-FR"/>
            </w:rPr>
            <mc:AlternateContent>
              <mc:Choice Requires="wpg">
                <w:drawing>
                  <wp:anchor distT="0" distB="0" distL="114300" distR="114300" simplePos="0" relativeHeight="251663360" behindDoc="1" locked="0" layoutInCell="1" allowOverlap="1" wp14:anchorId="66B4BAE4" wp14:editId="3E72ADF8">
                    <wp:simplePos x="0" y="0"/>
                    <wp:positionH relativeFrom="page">
                      <wp:posOffset>451346</wp:posOffset>
                    </wp:positionH>
                    <wp:positionV relativeFrom="page">
                      <wp:posOffset>-85090</wp:posOffset>
                    </wp:positionV>
                    <wp:extent cx="6852920" cy="9142730"/>
                    <wp:effectExtent l="0" t="0" r="2540" b="133985"/>
                    <wp:wrapNone/>
                    <wp:docPr id="119" name="Groupe 119"/>
                    <wp:cNvGraphicFramePr/>
                    <a:graphic xmlns:a="http://schemas.openxmlformats.org/drawingml/2006/main">
                      <a:graphicData uri="http://schemas.microsoft.com/office/word/2010/wordprocessingGroup">
                        <wpg:wgp>
                          <wpg:cNvGrpSpPr/>
                          <wpg:grpSpPr>
                            <a:xfrm>
                              <a:off x="0" y="0"/>
                              <a:ext cx="6852920" cy="914273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b/>
                                      <w:color w:val="FFFF00"/>
                                      <w:sz w:val="36"/>
                                      <w:szCs w:val="32"/>
                                    </w:rPr>
                                    <w:alias w:val="Auteur"/>
                                    <w:tag w:val=""/>
                                    <w:id w:val="573238994"/>
                                    <w:dataBinding w:prefixMappings="xmlns:ns0='http://purl.org/dc/elements/1.1/' xmlns:ns1='http://schemas.openxmlformats.org/package/2006/metadata/core-properties' " w:xpath="/ns1:coreProperties[1]/ns0:creator[1]" w:storeItemID="{6C3C8BC8-F283-45AE-878A-BAB7291924A1}"/>
                                    <w:text/>
                                  </w:sdtPr>
                                  <w:sdtEndPr/>
                                  <w:sdtContent>
                                    <w:p w:rsidR="00FC32BC" w:rsidRPr="00DB6B0E" w:rsidRDefault="00FC32BC" w:rsidP="00FC32BC">
                                      <w:pPr>
                                        <w:pStyle w:val="Sansinterligne"/>
                                        <w:rPr>
                                          <w:rFonts w:ascii="Century Gothic" w:hAnsi="Century Gothic"/>
                                          <w:b/>
                                          <w:color w:val="FFFF00"/>
                                          <w:sz w:val="36"/>
                                          <w:szCs w:val="32"/>
                                        </w:rPr>
                                      </w:pPr>
                                      <w:r>
                                        <w:rPr>
                                          <w:rFonts w:ascii="Century Gothic" w:hAnsi="Century Gothic"/>
                                          <w:b/>
                                          <w:color w:val="FFFF00"/>
                                          <w:sz w:val="36"/>
                                          <w:szCs w:val="32"/>
                                        </w:rPr>
                                        <w:t>Rapport élaboré et présenté par :</w:t>
                                      </w:r>
                                    </w:p>
                                  </w:sdtContent>
                                </w:sdt>
                                <w:p w:rsidR="00FC32BC" w:rsidRDefault="00AC35EF" w:rsidP="00FC32BC">
                                  <w:pPr>
                                    <w:pStyle w:val="Sansinterligne"/>
                                    <w:rPr>
                                      <w:caps/>
                                      <w:color w:val="FFFFFF" w:themeColor="background1"/>
                                    </w:rPr>
                                  </w:pPr>
                                  <w:sdt>
                                    <w:sdtPr>
                                      <w:rPr>
                                        <w:rFonts w:ascii="Times New Roman" w:eastAsia="Times New Roman" w:hAnsi="Times New Roman" w:cs="Times New Roman"/>
                                        <w:b/>
                                        <w:bCs/>
                                        <w:color w:val="FFFFFF" w:themeColor="background1"/>
                                        <w:kern w:val="36"/>
                                        <w:sz w:val="44"/>
                                        <w:szCs w:val="48"/>
                                      </w:rPr>
                                      <w:alias w:val="Société"/>
                                      <w:tag w:val=""/>
                                      <w:id w:val="1347204816"/>
                                      <w:dataBinding w:prefixMappings="xmlns:ns0='http://schemas.openxmlformats.org/officeDocument/2006/extended-properties' " w:xpath="/ns0:Properties[1]/ns0:Company[1]" w:storeItemID="{6668398D-A668-4E3E-A5EB-62B293D839F1}"/>
                                      <w:text/>
                                    </w:sdtPr>
                                    <w:sdtEndPr/>
                                    <w:sdtContent>
                                      <w:r w:rsidR="00FC32BC">
                                        <w:rPr>
                                          <w:rFonts w:ascii="Times New Roman" w:eastAsia="Times New Roman" w:hAnsi="Times New Roman" w:cs="Times New Roman"/>
                                          <w:b/>
                                          <w:bCs/>
                                          <w:color w:val="FFFFFF" w:themeColor="background1"/>
                                          <w:kern w:val="36"/>
                                          <w:sz w:val="44"/>
                                          <w:szCs w:val="48"/>
                                        </w:rPr>
                                        <w:t>Association de Lutte Contre les Violences Sexuelles et Appui à la Promotion du Développement Durable « ALUCOVIS-APDD »</w:t>
                                      </w:r>
                                    </w:sdtContent>
                                  </w:sdt>
                                  <w:r w:rsidR="00FC32BC">
                                    <w:rPr>
                                      <w:caps/>
                                      <w:color w:val="FFFFFF" w:themeColor="background1"/>
                                    </w:rPr>
                                    <w:t xml:space="preserve"> </w:t>
                                  </w:r>
                                  <w:sdt>
                                    <w:sdtPr>
                                      <w:rPr>
                                        <w:caps/>
                                        <w:color w:val="FFFFFF" w:themeColor="background1"/>
                                      </w:rPr>
                                      <w:alias w:val="Adresse"/>
                                      <w:tag w:val=""/>
                                      <w:id w:val="-1059089634"/>
                                      <w:showingPlcHdr/>
                                      <w:dataBinding w:prefixMappings="xmlns:ns0='http://schemas.microsoft.com/office/2006/coverPageProps' " w:xpath="/ns0:CoverPageProperties[1]/ns0:CompanyAddress[1]" w:storeItemID="{55AF091B-3C7A-41E3-B477-F2FDAA23CFDA}"/>
                                      <w:text/>
                                    </w:sdtPr>
                                    <w:sdtEndPr/>
                                    <w:sdtContent>
                                      <w:r w:rsidR="00FC32BC">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imes New Roman" w:hAnsi="Times New Roman" w:cs="Times New Roman"/>
                                      <w:b/>
                                      <w:bCs/>
                                      <w:kern w:val="36"/>
                                      <w:sz w:val="36"/>
                                      <w:szCs w:val="48"/>
                                    </w:rPr>
                                    <w:alias w:val="Titre"/>
                                    <w:tag w:val=""/>
                                    <w:id w:val="1233121729"/>
                                    <w:dataBinding w:prefixMappings="xmlns:ns0='http://purl.org/dc/elements/1.1/' xmlns:ns1='http://schemas.openxmlformats.org/package/2006/metadata/core-properties' " w:xpath="/ns1:coreProperties[1]/ns0:title[1]" w:storeItemID="{6C3C8BC8-F283-45AE-878A-BAB7291924A1}"/>
                                    <w:text/>
                                  </w:sdtPr>
                                  <w:sdtEndPr/>
                                  <w:sdtContent>
                                    <w:p w:rsidR="00FC32BC" w:rsidRDefault="00FC32BC" w:rsidP="00FC32BC">
                                      <w:pPr>
                                        <w:pStyle w:val="Sansinterligne"/>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FA497B">
                                        <w:rPr>
                                          <w:rFonts w:ascii="Times New Roman" w:eastAsia="Times New Roman" w:hAnsi="Times New Roman" w:cs="Times New Roman"/>
                                          <w:b/>
                                          <w:bCs/>
                                          <w:kern w:val="36"/>
                                          <w:sz w:val="36"/>
                                          <w:szCs w:val="48"/>
                                        </w:rPr>
                                        <w:t xml:space="preserve"> Thème : Resilience Communautaire et Alignement aux Priorités Nationales (PND 2018-2027 et Vision 2040) dans un Contexte de Crises Multiples</w:t>
                                      </w:r>
                                      <w:r w:rsidR="00FA497B" w:rsidRPr="00FA497B">
                                        <w:rPr>
                                          <w:rFonts w:ascii="Times New Roman" w:eastAsia="Times New Roman" w:hAnsi="Times New Roman" w:cs="Times New Roman"/>
                                          <w:b/>
                                          <w:bCs/>
                                          <w:kern w:val="36"/>
                                          <w:sz w:val="36"/>
                                          <w:szCs w:val="48"/>
                                        </w:rPr>
                                        <w:t xml:space="preserve"> au Burundi</w:t>
                                      </w:r>
                                      <w:r w:rsidRPr="00FA497B">
                                        <w:rPr>
                                          <w:rFonts w:ascii="Times New Roman" w:eastAsia="Times New Roman" w:hAnsi="Times New Roman" w:cs="Times New Roman"/>
                                          <w:b/>
                                          <w:bCs/>
                                          <w:kern w:val="36"/>
                                          <w:sz w:val="36"/>
                                          <w:szCs w:val="48"/>
                                        </w:rPr>
                                        <w:t>.</w:t>
                                      </w:r>
                                      <w:r w:rsidR="0000597F">
                                        <w:rPr>
                                          <w:rFonts w:ascii="Times New Roman" w:eastAsia="Times New Roman" w:hAnsi="Times New Roman" w:cs="Times New Roman"/>
                                          <w:b/>
                                          <w:bCs/>
                                          <w:kern w:val="36"/>
                                          <w:sz w:val="36"/>
                                          <w:szCs w:val="48"/>
                                        </w:rPr>
                                        <w:t xml:space="preserve"> </w:t>
                                      </w:r>
                                    </w:p>
                                  </w:sdtContent>
                                </w:sdt>
                                <w:p w:rsidR="00FC32BC" w:rsidRDefault="00AC35EF" w:rsidP="00FC32BC">
                                  <w:pPr>
                                    <w:pStyle w:val="Sansinterligne"/>
                                    <w:spacing w:before="240"/>
                                    <w:jc w:val="center"/>
                                    <w:rPr>
                                      <w:caps/>
                                      <w:color w:val="44546A" w:themeColor="text2"/>
                                      <w:sz w:val="36"/>
                                      <w:szCs w:val="36"/>
                                    </w:rPr>
                                  </w:pPr>
                                  <w:sdt>
                                    <w:sdtPr>
                                      <w:rPr>
                                        <w:caps/>
                                        <w:color w:val="44546A" w:themeColor="text2"/>
                                        <w:sz w:val="36"/>
                                        <w:szCs w:val="36"/>
                                      </w:rPr>
                                      <w:alias w:val="Sous-titre"/>
                                      <w:tag w:val=""/>
                                      <w:id w:val="-573131193"/>
                                      <w:showingPlcHdr/>
                                      <w:dataBinding w:prefixMappings="xmlns:ns0='http://purl.org/dc/elements/1.1/' xmlns:ns1='http://schemas.openxmlformats.org/package/2006/metadata/core-properties' " w:xpath="/ns1:coreProperties[1]/ns0:subject[1]" w:storeItemID="{6C3C8BC8-F283-45AE-878A-BAB7291924A1}"/>
                                      <w:text/>
                                    </w:sdtPr>
                                    <w:sdtEndPr/>
                                    <w:sdtContent>
                                      <w:r w:rsidR="00FC32BC">
                                        <w:rPr>
                                          <w:caps/>
                                          <w:color w:val="44546A" w:themeColor="text2"/>
                                          <w:sz w:val="36"/>
                                          <w:szCs w:val="36"/>
                                        </w:rPr>
                                        <w:t xml:space="preserve">     </w:t>
                                      </w:r>
                                    </w:sdtContent>
                                  </w:sdt>
                                  <w:r w:rsidR="00FC32BC" w:rsidRPr="0000597F">
                                    <w:rPr>
                                      <w:rFonts w:ascii="Century Gothic" w:hAnsi="Century Gothic"/>
                                      <w:noProof/>
                                      <w:sz w:val="18"/>
                                      <w:szCs w:val="18"/>
                                    </w:rPr>
                                    <w:drawing>
                                      <wp:inline distT="0" distB="0" distL="0" distR="0" wp14:anchorId="7A56D935" wp14:editId="70D7B30C">
                                        <wp:extent cx="1438275" cy="1800225"/>
                                        <wp:effectExtent l="0" t="0" r="9525" b="9525"/>
                                        <wp:docPr id="14" name="Image 14" descr="C:\Users\HP\Desktop\ALUCOVIS APDD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C:\Users\HP\Desktop\ALUCOVIS APDD 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8275" cy="1800225"/>
                                                </a:xfrm>
                                                <a:prstGeom prst="rect">
                                                  <a:avLst/>
                                                </a:prstGeom>
                                                <a:noFill/>
                                                <a:ln>
                                                  <a:noFill/>
                                                </a:ln>
                                              </pic:spPr>
                                            </pic:pic>
                                          </a:graphicData>
                                        </a:graphic>
                                      </wp:inline>
                                    </w:drawing>
                                  </w:r>
                                </w:p>
                                <w:p w:rsidR="00FC32BC" w:rsidRDefault="00FC32BC" w:rsidP="00FC32BC">
                                  <w:pPr>
                                    <w:pStyle w:val="Sansinterligne"/>
                                    <w:spacing w:before="240"/>
                                    <w:jc w:val="right"/>
                                    <w:rPr>
                                      <w:caps/>
                                      <w:color w:val="44546A" w:themeColor="text2"/>
                                      <w:sz w:val="36"/>
                                      <w:szCs w:val="36"/>
                                    </w:rPr>
                                  </w:pPr>
                                  <w:r w:rsidRPr="0078675C">
                                    <w:rPr>
                                      <w:b/>
                                      <w:color w:val="00B050"/>
                                      <w:sz w:val="18"/>
                                      <w:szCs w:val="20"/>
                                    </w:rPr>
                                    <w:t>L’une des rencontres stratégiques du ministère de l’éducation avec ses partenaires dont l’ALUCOVIS-APDD fait partie.</w:t>
                                  </w:r>
                                  <w:bookmarkStart w:id="0" w:name="_GoBack"/>
                                  <w:r w:rsidRPr="008B7A76">
                                    <w:rPr>
                                      <w:caps/>
                                      <w:noProof/>
                                      <w:color w:val="44546A" w:themeColor="text2"/>
                                      <w:sz w:val="36"/>
                                      <w:szCs w:val="36"/>
                                    </w:rPr>
                                    <w:drawing>
                                      <wp:inline distT="0" distB="0" distL="0" distR="0" wp14:anchorId="1DFCC9AC" wp14:editId="05D19E22">
                                        <wp:extent cx="5744210" cy="2438099"/>
                                        <wp:effectExtent l="0" t="0" r="0" b="635"/>
                                        <wp:docPr id="15" name="Image 15" descr="C:\Users\HP\AppData\Local\Microsoft\Windows\INetCache\IE\62ZDLWV0\.trashed-1771338908-IMG_20251114_102942_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IE\62ZDLWV0\.trashed-1771338908-IMG_20251114_102942_97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058" cy="2439308"/>
                                                </a:xfrm>
                                                <a:prstGeom prst="rect">
                                                  <a:avLst/>
                                                </a:prstGeom>
                                                <a:noFill/>
                                                <a:ln>
                                                  <a:noFill/>
                                                </a:ln>
                                              </pic:spPr>
                                            </pic:pic>
                                          </a:graphicData>
                                        </a:graphic>
                                      </wp:inline>
                                    </w:drawing>
                                  </w:r>
                                  <w:bookmarkEnd w:id="0"/>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6B4BAE4" id="Groupe 119" o:spid="_x0000_s1026" style="position:absolute;left:0;text-align:left;margin-left:35.55pt;margin-top:-6.7pt;width:539.6pt;height:719.9pt;z-index:-251653120;mso-width-percent:882;mso-height-percent:909;mso-position-horizontal-relative:page;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rFonts w:ascii="Century Gothic" w:hAnsi="Century Gothic"/>
                                <w:b/>
                                <w:color w:val="FFFF00"/>
                                <w:sz w:val="36"/>
                                <w:szCs w:val="32"/>
                              </w:rPr>
                              <w:alias w:val="Auteur"/>
                              <w:tag w:val=""/>
                              <w:id w:val="573238994"/>
                              <w:dataBinding w:prefixMappings="xmlns:ns0='http://purl.org/dc/elements/1.1/' xmlns:ns1='http://schemas.openxmlformats.org/package/2006/metadata/core-properties' " w:xpath="/ns1:coreProperties[1]/ns0:creator[1]" w:storeItemID="{6C3C8BC8-F283-45AE-878A-BAB7291924A1}"/>
                              <w:text/>
                            </w:sdtPr>
                            <w:sdtEndPr/>
                            <w:sdtContent>
                              <w:p w:rsidR="00FC32BC" w:rsidRPr="00DB6B0E" w:rsidRDefault="00FC32BC" w:rsidP="00FC32BC">
                                <w:pPr>
                                  <w:pStyle w:val="Sansinterligne"/>
                                  <w:rPr>
                                    <w:rFonts w:ascii="Century Gothic" w:hAnsi="Century Gothic"/>
                                    <w:b/>
                                    <w:color w:val="FFFF00"/>
                                    <w:sz w:val="36"/>
                                    <w:szCs w:val="32"/>
                                  </w:rPr>
                                </w:pPr>
                                <w:r>
                                  <w:rPr>
                                    <w:rFonts w:ascii="Century Gothic" w:hAnsi="Century Gothic"/>
                                    <w:b/>
                                    <w:color w:val="FFFF00"/>
                                    <w:sz w:val="36"/>
                                    <w:szCs w:val="32"/>
                                  </w:rPr>
                                  <w:t>Rapport élaboré et présenté par :</w:t>
                                </w:r>
                              </w:p>
                            </w:sdtContent>
                          </w:sdt>
                          <w:p w:rsidR="00FC32BC" w:rsidRDefault="00AC35EF" w:rsidP="00FC32BC">
                            <w:pPr>
                              <w:pStyle w:val="Sansinterligne"/>
                              <w:rPr>
                                <w:caps/>
                                <w:color w:val="FFFFFF" w:themeColor="background1"/>
                              </w:rPr>
                            </w:pPr>
                            <w:sdt>
                              <w:sdtPr>
                                <w:rPr>
                                  <w:rFonts w:ascii="Times New Roman" w:eastAsia="Times New Roman" w:hAnsi="Times New Roman" w:cs="Times New Roman"/>
                                  <w:b/>
                                  <w:bCs/>
                                  <w:color w:val="FFFFFF" w:themeColor="background1"/>
                                  <w:kern w:val="36"/>
                                  <w:sz w:val="44"/>
                                  <w:szCs w:val="48"/>
                                </w:rPr>
                                <w:alias w:val="Société"/>
                                <w:tag w:val=""/>
                                <w:id w:val="1347204816"/>
                                <w:dataBinding w:prefixMappings="xmlns:ns0='http://schemas.openxmlformats.org/officeDocument/2006/extended-properties' " w:xpath="/ns0:Properties[1]/ns0:Company[1]" w:storeItemID="{6668398D-A668-4E3E-A5EB-62B293D839F1}"/>
                                <w:text/>
                              </w:sdtPr>
                              <w:sdtEndPr/>
                              <w:sdtContent>
                                <w:r w:rsidR="00FC32BC">
                                  <w:rPr>
                                    <w:rFonts w:ascii="Times New Roman" w:eastAsia="Times New Roman" w:hAnsi="Times New Roman" w:cs="Times New Roman"/>
                                    <w:b/>
                                    <w:bCs/>
                                    <w:color w:val="FFFFFF" w:themeColor="background1"/>
                                    <w:kern w:val="36"/>
                                    <w:sz w:val="44"/>
                                    <w:szCs w:val="48"/>
                                  </w:rPr>
                                  <w:t>Association de Lutte Contre les Violences Sexuelles et Appui à la Promotion du Développement Durable « ALUCOVIS-APDD »</w:t>
                                </w:r>
                              </w:sdtContent>
                            </w:sdt>
                            <w:r w:rsidR="00FC32BC">
                              <w:rPr>
                                <w:caps/>
                                <w:color w:val="FFFFFF" w:themeColor="background1"/>
                              </w:rPr>
                              <w:t xml:space="preserve"> </w:t>
                            </w:r>
                            <w:sdt>
                              <w:sdtPr>
                                <w:rPr>
                                  <w:caps/>
                                  <w:color w:val="FFFFFF" w:themeColor="background1"/>
                                </w:rPr>
                                <w:alias w:val="Adresse"/>
                                <w:tag w:val=""/>
                                <w:id w:val="-1059089634"/>
                                <w:showingPlcHdr/>
                                <w:dataBinding w:prefixMappings="xmlns:ns0='http://schemas.microsoft.com/office/2006/coverPageProps' " w:xpath="/ns0:CoverPageProperties[1]/ns0:CompanyAddress[1]" w:storeItemID="{55AF091B-3C7A-41E3-B477-F2FDAA23CFDA}"/>
                                <w:text/>
                              </w:sdtPr>
                              <w:sdtEndPr/>
                              <w:sdtContent>
                                <w:r w:rsidR="00FC32BC">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Zone de texte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imes New Roman" w:eastAsia="Times New Roman" w:hAnsi="Times New Roman" w:cs="Times New Roman"/>
                                <w:b/>
                                <w:bCs/>
                                <w:kern w:val="36"/>
                                <w:sz w:val="36"/>
                                <w:szCs w:val="48"/>
                              </w:rPr>
                              <w:alias w:val="Titre"/>
                              <w:tag w:val=""/>
                              <w:id w:val="1233121729"/>
                              <w:dataBinding w:prefixMappings="xmlns:ns0='http://purl.org/dc/elements/1.1/' xmlns:ns1='http://schemas.openxmlformats.org/package/2006/metadata/core-properties' " w:xpath="/ns1:coreProperties[1]/ns0:title[1]" w:storeItemID="{6C3C8BC8-F283-45AE-878A-BAB7291924A1}"/>
                              <w:text/>
                            </w:sdtPr>
                            <w:sdtEndPr/>
                            <w:sdtContent>
                              <w:p w:rsidR="00FC32BC" w:rsidRDefault="00FC32BC" w:rsidP="00FC32BC">
                                <w:pPr>
                                  <w:pStyle w:val="Sansinterligne"/>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FA497B">
                                  <w:rPr>
                                    <w:rFonts w:ascii="Times New Roman" w:eastAsia="Times New Roman" w:hAnsi="Times New Roman" w:cs="Times New Roman"/>
                                    <w:b/>
                                    <w:bCs/>
                                    <w:kern w:val="36"/>
                                    <w:sz w:val="36"/>
                                    <w:szCs w:val="48"/>
                                  </w:rPr>
                                  <w:t xml:space="preserve"> Thème : Resilience Communautaire et Alignement aux Priorités Nationales (PND 2018-2027 et Vision 2040) dans un Contexte de Crises Multiples</w:t>
                                </w:r>
                                <w:r w:rsidR="00FA497B" w:rsidRPr="00FA497B">
                                  <w:rPr>
                                    <w:rFonts w:ascii="Times New Roman" w:eastAsia="Times New Roman" w:hAnsi="Times New Roman" w:cs="Times New Roman"/>
                                    <w:b/>
                                    <w:bCs/>
                                    <w:kern w:val="36"/>
                                    <w:sz w:val="36"/>
                                    <w:szCs w:val="48"/>
                                  </w:rPr>
                                  <w:t xml:space="preserve"> au Burundi</w:t>
                                </w:r>
                                <w:r w:rsidRPr="00FA497B">
                                  <w:rPr>
                                    <w:rFonts w:ascii="Times New Roman" w:eastAsia="Times New Roman" w:hAnsi="Times New Roman" w:cs="Times New Roman"/>
                                    <w:b/>
                                    <w:bCs/>
                                    <w:kern w:val="36"/>
                                    <w:sz w:val="36"/>
                                    <w:szCs w:val="48"/>
                                  </w:rPr>
                                  <w:t>.</w:t>
                                </w:r>
                                <w:r w:rsidR="0000597F">
                                  <w:rPr>
                                    <w:rFonts w:ascii="Times New Roman" w:eastAsia="Times New Roman" w:hAnsi="Times New Roman" w:cs="Times New Roman"/>
                                    <w:b/>
                                    <w:bCs/>
                                    <w:kern w:val="36"/>
                                    <w:sz w:val="36"/>
                                    <w:szCs w:val="48"/>
                                  </w:rPr>
                                  <w:t xml:space="preserve"> </w:t>
                                </w:r>
                              </w:p>
                            </w:sdtContent>
                          </w:sdt>
                          <w:p w:rsidR="00FC32BC" w:rsidRDefault="00AC35EF" w:rsidP="00FC32BC">
                            <w:pPr>
                              <w:pStyle w:val="Sansinterligne"/>
                              <w:spacing w:before="240"/>
                              <w:jc w:val="center"/>
                              <w:rPr>
                                <w:caps/>
                                <w:color w:val="44546A" w:themeColor="text2"/>
                                <w:sz w:val="36"/>
                                <w:szCs w:val="36"/>
                              </w:rPr>
                            </w:pPr>
                            <w:sdt>
                              <w:sdtPr>
                                <w:rPr>
                                  <w:caps/>
                                  <w:color w:val="44546A" w:themeColor="text2"/>
                                  <w:sz w:val="36"/>
                                  <w:szCs w:val="36"/>
                                </w:rPr>
                                <w:alias w:val="Sous-titre"/>
                                <w:tag w:val=""/>
                                <w:id w:val="-573131193"/>
                                <w:showingPlcHdr/>
                                <w:dataBinding w:prefixMappings="xmlns:ns0='http://purl.org/dc/elements/1.1/' xmlns:ns1='http://schemas.openxmlformats.org/package/2006/metadata/core-properties' " w:xpath="/ns1:coreProperties[1]/ns0:subject[1]" w:storeItemID="{6C3C8BC8-F283-45AE-878A-BAB7291924A1}"/>
                                <w:text/>
                              </w:sdtPr>
                              <w:sdtEndPr/>
                              <w:sdtContent>
                                <w:r w:rsidR="00FC32BC">
                                  <w:rPr>
                                    <w:caps/>
                                    <w:color w:val="44546A" w:themeColor="text2"/>
                                    <w:sz w:val="36"/>
                                    <w:szCs w:val="36"/>
                                  </w:rPr>
                                  <w:t xml:space="preserve">     </w:t>
                                </w:r>
                              </w:sdtContent>
                            </w:sdt>
                            <w:r w:rsidR="00FC32BC" w:rsidRPr="0000597F">
                              <w:rPr>
                                <w:rFonts w:ascii="Century Gothic" w:hAnsi="Century Gothic"/>
                                <w:noProof/>
                                <w:sz w:val="18"/>
                                <w:szCs w:val="18"/>
                              </w:rPr>
                              <w:drawing>
                                <wp:inline distT="0" distB="0" distL="0" distR="0" wp14:anchorId="7A56D935" wp14:editId="70D7B30C">
                                  <wp:extent cx="1438275" cy="1800225"/>
                                  <wp:effectExtent l="0" t="0" r="9525" b="9525"/>
                                  <wp:docPr id="14" name="Image 14" descr="C:\Users\HP\Desktop\ALUCOVIS APDD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C:\Users\HP\Desktop\ALUCOVIS APDD 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8275" cy="1800225"/>
                                          </a:xfrm>
                                          <a:prstGeom prst="rect">
                                            <a:avLst/>
                                          </a:prstGeom>
                                          <a:noFill/>
                                          <a:ln>
                                            <a:noFill/>
                                          </a:ln>
                                        </pic:spPr>
                                      </pic:pic>
                                    </a:graphicData>
                                  </a:graphic>
                                </wp:inline>
                              </w:drawing>
                            </w:r>
                          </w:p>
                          <w:p w:rsidR="00FC32BC" w:rsidRDefault="00FC32BC" w:rsidP="00FC32BC">
                            <w:pPr>
                              <w:pStyle w:val="Sansinterligne"/>
                              <w:spacing w:before="240"/>
                              <w:jc w:val="right"/>
                              <w:rPr>
                                <w:caps/>
                                <w:color w:val="44546A" w:themeColor="text2"/>
                                <w:sz w:val="36"/>
                                <w:szCs w:val="36"/>
                              </w:rPr>
                            </w:pPr>
                            <w:r w:rsidRPr="0078675C">
                              <w:rPr>
                                <w:b/>
                                <w:color w:val="00B050"/>
                                <w:sz w:val="18"/>
                                <w:szCs w:val="20"/>
                              </w:rPr>
                              <w:t>L’une des rencontres stratégiques du ministère de l’éducation avec ses partenaires dont l’ALUCOVIS-APDD fait partie.</w:t>
                            </w:r>
                            <w:bookmarkStart w:id="1" w:name="_GoBack"/>
                            <w:r w:rsidRPr="008B7A76">
                              <w:rPr>
                                <w:caps/>
                                <w:noProof/>
                                <w:color w:val="44546A" w:themeColor="text2"/>
                                <w:sz w:val="36"/>
                                <w:szCs w:val="36"/>
                              </w:rPr>
                              <w:drawing>
                                <wp:inline distT="0" distB="0" distL="0" distR="0" wp14:anchorId="1DFCC9AC" wp14:editId="05D19E22">
                                  <wp:extent cx="5744210" cy="2438099"/>
                                  <wp:effectExtent l="0" t="0" r="0" b="635"/>
                                  <wp:docPr id="15" name="Image 15" descr="C:\Users\HP\AppData\Local\Microsoft\Windows\INetCache\IE\62ZDLWV0\.trashed-1771338908-IMG_20251114_102942_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IE\62ZDLWV0\.trashed-1771338908-IMG_20251114_102942_97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058" cy="2439308"/>
                                          </a:xfrm>
                                          <a:prstGeom prst="rect">
                                            <a:avLst/>
                                          </a:prstGeom>
                                          <a:noFill/>
                                          <a:ln>
                                            <a:noFill/>
                                          </a:ln>
                                        </pic:spPr>
                                      </pic:pic>
                                    </a:graphicData>
                                  </a:graphic>
                                </wp:inline>
                              </w:drawing>
                            </w:r>
                            <w:bookmarkEnd w:id="1"/>
                          </w:p>
                        </w:txbxContent>
                      </v:textbox>
                    </v:shape>
                    <w10:wrap anchorx="page" anchory="page"/>
                  </v:group>
                </w:pict>
              </mc:Fallback>
            </mc:AlternateContent>
          </w:r>
          <w:r w:rsidRPr="00D01463">
            <w:rPr>
              <w:rFonts w:ascii="Times New Roman" w:eastAsia="Times New Roman" w:hAnsi="Times New Roman" w:cs="Times New Roman"/>
              <w:b/>
              <w:bCs/>
              <w:color w:val="00B0F0"/>
              <w:kern w:val="36"/>
              <w:sz w:val="36"/>
              <w:szCs w:val="48"/>
              <w:u w:val="single"/>
            </w:rPr>
            <w:t>RAPPORT ANNUEL 2025, DE L’ALUCOVIS-APDD</w:t>
          </w:r>
        </w:p>
        <w:p w:rsidR="00FC32BC" w:rsidRDefault="00FC32BC" w:rsidP="00FC32BC">
          <w:pPr>
            <w:jc w:val="both"/>
            <w:rPr>
              <w:rFonts w:ascii="Times New Roman" w:eastAsia="Times New Roman" w:hAnsi="Times New Roman" w:cs="Times New Roman"/>
              <w:b/>
              <w:bCs/>
              <w:sz w:val="27"/>
              <w:szCs w:val="27"/>
              <w:lang w:eastAsia="fr-FR"/>
            </w:rPr>
          </w:pPr>
          <w:r>
            <w:br w:type="page"/>
          </w:r>
        </w:p>
      </w:sdtContent>
    </w:sdt>
    <w:p w:rsidR="00FC32BC" w:rsidRDefault="00FC32BC" w:rsidP="00FC32BC">
      <w:pPr>
        <w:pStyle w:val="Titre3"/>
        <w:jc w:val="both"/>
      </w:pPr>
      <w:bookmarkStart w:id="2" w:name="_Toc221172991"/>
      <w:r>
        <w:lastRenderedPageBreak/>
        <w:t>I. Table des matières :</w:t>
      </w:r>
      <w:bookmarkEnd w:id="2"/>
    </w:p>
    <w:p w:rsidR="00FC32BC" w:rsidRPr="00BB19EE" w:rsidRDefault="00FC32BC" w:rsidP="00FC32BC">
      <w:pPr>
        <w:pStyle w:val="TM3"/>
        <w:jc w:val="both"/>
        <w:rPr>
          <w:rFonts w:asciiTheme="minorHAnsi" w:eastAsiaTheme="minorEastAsia" w:hAnsiTheme="minorHAnsi" w:cstheme="minorBidi"/>
          <w:b w:val="0"/>
          <w:sz w:val="18"/>
          <w:szCs w:val="18"/>
        </w:rPr>
      </w:pPr>
      <w:r w:rsidRPr="00BB19EE">
        <w:rPr>
          <w:rFonts w:asciiTheme="minorHAnsi" w:eastAsiaTheme="minorHAnsi" w:hAnsiTheme="minorHAnsi" w:cstheme="minorBidi"/>
          <w:b w:val="0"/>
          <w:sz w:val="18"/>
          <w:szCs w:val="18"/>
          <w:lang w:eastAsia="en-US"/>
        </w:rPr>
        <w:fldChar w:fldCharType="begin"/>
      </w:r>
      <w:r w:rsidRPr="00BB19EE">
        <w:rPr>
          <w:b w:val="0"/>
          <w:sz w:val="18"/>
          <w:szCs w:val="18"/>
        </w:rPr>
        <w:instrText xml:space="preserve"> TOC \o "1-4" \h \z \u </w:instrText>
      </w:r>
      <w:r w:rsidRPr="00BB19EE">
        <w:rPr>
          <w:rFonts w:asciiTheme="minorHAnsi" w:eastAsiaTheme="minorHAnsi" w:hAnsiTheme="minorHAnsi" w:cstheme="minorBidi"/>
          <w:b w:val="0"/>
          <w:sz w:val="18"/>
          <w:szCs w:val="18"/>
          <w:lang w:eastAsia="en-US"/>
        </w:rPr>
        <w:fldChar w:fldCharType="separate"/>
      </w:r>
      <w:hyperlink w:anchor="_Toc221172991" w:history="1">
        <w:r w:rsidRPr="00BB19EE">
          <w:rPr>
            <w:rStyle w:val="Lienhypertexte"/>
            <w:b w:val="0"/>
            <w:sz w:val="18"/>
            <w:szCs w:val="18"/>
          </w:rPr>
          <w:t>I. Table des matières :</w:t>
        </w:r>
        <w:r w:rsidRPr="00BB19EE">
          <w:rPr>
            <w:b w:val="0"/>
            <w:webHidden/>
            <w:sz w:val="18"/>
            <w:szCs w:val="18"/>
          </w:rPr>
          <w:tab/>
        </w:r>
        <w:r w:rsidRPr="00BB19EE">
          <w:rPr>
            <w:b w:val="0"/>
            <w:webHidden/>
            <w:sz w:val="18"/>
            <w:szCs w:val="18"/>
          </w:rPr>
          <w:fldChar w:fldCharType="begin"/>
        </w:r>
        <w:r w:rsidRPr="00BB19EE">
          <w:rPr>
            <w:b w:val="0"/>
            <w:webHidden/>
            <w:sz w:val="18"/>
            <w:szCs w:val="18"/>
          </w:rPr>
          <w:instrText xml:space="preserve"> PAGEREF _Toc221172991 \h </w:instrText>
        </w:r>
        <w:r w:rsidRPr="00BB19EE">
          <w:rPr>
            <w:b w:val="0"/>
            <w:webHidden/>
            <w:sz w:val="18"/>
            <w:szCs w:val="18"/>
          </w:rPr>
        </w:r>
        <w:r w:rsidRPr="00BB19EE">
          <w:rPr>
            <w:b w:val="0"/>
            <w:webHidden/>
            <w:sz w:val="18"/>
            <w:szCs w:val="18"/>
          </w:rPr>
          <w:fldChar w:fldCharType="separate"/>
        </w:r>
        <w:r w:rsidR="001763CE">
          <w:rPr>
            <w:b w:val="0"/>
            <w:webHidden/>
            <w:sz w:val="18"/>
            <w:szCs w:val="18"/>
          </w:rPr>
          <w:t>1</w:t>
        </w:r>
        <w:r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2992" w:history="1">
        <w:r w:rsidR="00FC32BC" w:rsidRPr="00BB19EE">
          <w:rPr>
            <w:rStyle w:val="Lienhypertexte"/>
            <w:b w:val="0"/>
            <w:sz w:val="18"/>
            <w:szCs w:val="18"/>
            <w:lang w:val="en-US"/>
          </w:rPr>
          <w:t>II. Sigles et Abréviations</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_Toc221172992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2</w:t>
        </w:r>
        <w:r w:rsidR="00FC32BC"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2993" w:history="1">
        <w:r w:rsidR="00FC32BC" w:rsidRPr="00BB19EE">
          <w:rPr>
            <w:rStyle w:val="Lienhypertexte"/>
            <w:b w:val="0"/>
            <w:sz w:val="18"/>
            <w:szCs w:val="18"/>
          </w:rPr>
          <w:t>II.1.Note de Présentation et Cadre Éthique</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_Toc221172993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3</w:t>
        </w:r>
        <w:r w:rsidR="00FC32BC"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2994" w:history="1">
        <w:r w:rsidR="00FC32BC" w:rsidRPr="00BB19EE">
          <w:rPr>
            <w:rStyle w:val="Lienhypertexte"/>
            <w:rFonts w:cs="Arial"/>
            <w:b w:val="0"/>
            <w:sz w:val="18"/>
            <w:szCs w:val="18"/>
          </w:rPr>
          <w:t xml:space="preserve">Fig1. </w:t>
        </w:r>
        <w:r w:rsidR="005C3E66">
          <w:rPr>
            <w:rStyle w:val="Lienhypertexte"/>
            <w:rFonts w:cs="Arial"/>
            <w:b w:val="0"/>
            <w:sz w:val="18"/>
            <w:szCs w:val="18"/>
          </w:rPr>
          <w:t xml:space="preserve">Relocalisation des Sinitrés de Gatumba au </w:t>
        </w:r>
        <w:r w:rsidR="00FC32BC" w:rsidRPr="00BB19EE">
          <w:rPr>
            <w:rStyle w:val="Lienhypertexte"/>
            <w:rFonts w:cs="Arial"/>
            <w:b w:val="0"/>
            <w:sz w:val="18"/>
            <w:szCs w:val="18"/>
          </w:rPr>
          <w:t xml:space="preserve">Site </w:t>
        </w:r>
        <w:r w:rsidR="005C3E66">
          <w:rPr>
            <w:rStyle w:val="Lienhypertexte"/>
            <w:rFonts w:cs="Arial"/>
            <w:b w:val="0"/>
            <w:sz w:val="18"/>
            <w:szCs w:val="18"/>
          </w:rPr>
          <w:t xml:space="preserve">des Rapatriés de </w:t>
        </w:r>
        <w:r w:rsidR="00FC32BC" w:rsidRPr="00BB19EE">
          <w:rPr>
            <w:rStyle w:val="Lienhypertexte"/>
            <w:rFonts w:cs="Arial"/>
            <w:b w:val="0"/>
            <w:sz w:val="18"/>
            <w:szCs w:val="18"/>
          </w:rPr>
          <w:t>GATERI</w:t>
        </w:r>
        <w:r w:rsidR="005C3E66">
          <w:rPr>
            <w:rStyle w:val="Lienhypertexte"/>
            <w:rFonts w:cs="Arial"/>
            <w:b w:val="0"/>
            <w:sz w:val="18"/>
            <w:szCs w:val="18"/>
          </w:rPr>
          <w:t xml:space="preserve"> à Buganda</w:t>
        </w:r>
        <w:r w:rsidR="00FC32BC" w:rsidRPr="00BB19EE">
          <w:rPr>
            <w:rStyle w:val="Lienhypertexte"/>
            <w:rFonts w:cs="Arial"/>
            <w:b w:val="0"/>
            <w:sz w:val="18"/>
            <w:szCs w:val="18"/>
          </w:rPr>
          <w:t xml:space="preserve"> </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_Toc221172994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3</w:t>
        </w:r>
        <w:r w:rsidR="00FC32BC"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2995" w:history="1">
        <w:r w:rsidR="00FC32BC" w:rsidRPr="00BB19EE">
          <w:rPr>
            <w:rStyle w:val="Lienhypertexte"/>
            <w:b w:val="0"/>
            <w:sz w:val="18"/>
            <w:szCs w:val="18"/>
          </w:rPr>
          <w:t>Fig2 : L’actuel Site de Gateri pour Sinistré de Gatumba bien aménagé,</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_Toc221172995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0</w:t>
        </w:r>
        <w:r w:rsidR="00FC32BC"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2996" w:history="1">
        <w:r w:rsidR="00FC32BC" w:rsidRPr="00BB19EE">
          <w:rPr>
            <w:rStyle w:val="Lienhypertexte"/>
            <w:rFonts w:ascii="Times New Roman" w:hAnsi="Times New Roman"/>
            <w:b w:val="0"/>
            <w:sz w:val="18"/>
            <w:szCs w:val="18"/>
          </w:rPr>
          <w:t>III. Préambule et Contexte Opérationnel</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_Toc221172996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0</w:t>
        </w:r>
        <w:r w:rsidR="00FC32BC"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2997" w:history="1">
        <w:r w:rsidR="00FC32BC" w:rsidRPr="00BB19EE">
          <w:rPr>
            <w:rStyle w:val="Lienhypertexte"/>
            <w:b w:val="0"/>
            <w:sz w:val="18"/>
            <w:szCs w:val="18"/>
          </w:rPr>
          <w:t>V. Données Statistiques et Impact 2025 (Tableaux Synoptiques)</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_Toc221172997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2</w:t>
        </w:r>
        <w:r w:rsidR="00FC32BC" w:rsidRPr="00BB19EE">
          <w:rPr>
            <w:b w:val="0"/>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2998" w:history="1">
        <w:r w:rsidR="00FC32BC" w:rsidRPr="00BB19EE">
          <w:rPr>
            <w:rStyle w:val="Lienhypertexte"/>
            <w:sz w:val="18"/>
            <w:szCs w:val="18"/>
          </w:rPr>
          <w:t>Tableau 1 : Impact de la crise agricole et climatique par ALUCOVIS-APDD)</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_Toc221172998 \h </w:instrText>
        </w:r>
        <w:r w:rsidR="00FC32BC" w:rsidRPr="00BB19EE">
          <w:rPr>
            <w:webHidden/>
            <w:sz w:val="18"/>
            <w:szCs w:val="18"/>
          </w:rPr>
        </w:r>
        <w:r w:rsidR="00FC32BC" w:rsidRPr="00BB19EE">
          <w:rPr>
            <w:webHidden/>
            <w:sz w:val="18"/>
            <w:szCs w:val="18"/>
          </w:rPr>
          <w:fldChar w:fldCharType="separate"/>
        </w:r>
        <w:r w:rsidR="001763CE">
          <w:rPr>
            <w:webHidden/>
            <w:sz w:val="18"/>
            <w:szCs w:val="18"/>
          </w:rPr>
          <w:t>2</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2999" w:history="1">
        <w:r w:rsidR="00FC32BC" w:rsidRPr="00BB19EE">
          <w:rPr>
            <w:rStyle w:val="Lienhypertexte"/>
            <w:sz w:val="18"/>
            <w:szCs w:val="18"/>
          </w:rPr>
          <w:t>Tableau 2 : Protection, VSBG et Droits Humains</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_Toc221172999 \h </w:instrText>
        </w:r>
        <w:r w:rsidR="00FC32BC" w:rsidRPr="00BB19EE">
          <w:rPr>
            <w:webHidden/>
            <w:sz w:val="18"/>
            <w:szCs w:val="18"/>
          </w:rPr>
        </w:r>
        <w:r w:rsidR="00FC32BC" w:rsidRPr="00BB19EE">
          <w:rPr>
            <w:webHidden/>
            <w:sz w:val="18"/>
            <w:szCs w:val="18"/>
          </w:rPr>
          <w:fldChar w:fldCharType="separate"/>
        </w:r>
        <w:r w:rsidR="001763CE">
          <w:rPr>
            <w:webHidden/>
            <w:sz w:val="18"/>
            <w:szCs w:val="18"/>
          </w:rPr>
          <w:t>2</w:t>
        </w:r>
        <w:r w:rsidR="00FC32BC" w:rsidRPr="00BB19EE">
          <w:rPr>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00" w:history="1">
        <w:r w:rsidR="00FC32BC" w:rsidRPr="00BB19EE">
          <w:rPr>
            <w:rStyle w:val="Lienhypertexte"/>
            <w:rFonts w:ascii="Times New Roman" w:hAnsi="Times New Roman"/>
            <w:b w:val="0"/>
            <w:sz w:val="18"/>
            <w:szCs w:val="18"/>
          </w:rPr>
          <w:t>V. Axes et Domaines d'intervention</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_Toc221173000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3</w:t>
        </w:r>
        <w:r w:rsidR="00FC32BC" w:rsidRPr="00BB19EE">
          <w:rPr>
            <w:b w:val="0"/>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1" w:history="1">
        <w:r w:rsidR="00FC32BC" w:rsidRPr="00BB19EE">
          <w:rPr>
            <w:rStyle w:val="Lienhypertexte"/>
            <w:sz w:val="18"/>
            <w:szCs w:val="18"/>
          </w:rPr>
          <w:t>V.1. Renforcement des Capacités Institutionnelles et Plaidoyer</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_Toc221173001 \h </w:instrText>
        </w:r>
        <w:r w:rsidR="00FC32BC" w:rsidRPr="00BB19EE">
          <w:rPr>
            <w:webHidden/>
            <w:sz w:val="18"/>
            <w:szCs w:val="18"/>
          </w:rPr>
        </w:r>
        <w:r w:rsidR="00FC32BC" w:rsidRPr="00BB19EE">
          <w:rPr>
            <w:webHidden/>
            <w:sz w:val="18"/>
            <w:szCs w:val="18"/>
          </w:rPr>
          <w:fldChar w:fldCharType="separate"/>
        </w:r>
        <w:r w:rsidR="001763CE">
          <w:rPr>
            <w:webHidden/>
            <w:sz w:val="18"/>
            <w:szCs w:val="18"/>
          </w:rPr>
          <w:t>3</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2" w:history="1">
        <w:r w:rsidR="00FC32BC" w:rsidRPr="00BB19EE">
          <w:rPr>
            <w:rStyle w:val="Lienhypertexte"/>
            <w:sz w:val="18"/>
            <w:szCs w:val="18"/>
          </w:rPr>
          <w:t>V.2. Partenariats Stratégiques à travers l’ODD 17</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_Toc221173002 \h </w:instrText>
        </w:r>
        <w:r w:rsidR="00FC32BC" w:rsidRPr="00BB19EE">
          <w:rPr>
            <w:webHidden/>
            <w:sz w:val="18"/>
            <w:szCs w:val="18"/>
          </w:rPr>
        </w:r>
        <w:r w:rsidR="00FC32BC" w:rsidRPr="00BB19EE">
          <w:rPr>
            <w:webHidden/>
            <w:sz w:val="18"/>
            <w:szCs w:val="18"/>
          </w:rPr>
          <w:fldChar w:fldCharType="separate"/>
        </w:r>
        <w:r w:rsidR="001763CE">
          <w:rPr>
            <w:webHidden/>
            <w:sz w:val="18"/>
            <w:szCs w:val="18"/>
          </w:rPr>
          <w:t>3</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3" w:history="1">
        <w:r w:rsidR="00FC32BC" w:rsidRPr="00BB19EE">
          <w:rPr>
            <w:rStyle w:val="Lienhypertexte"/>
            <w:sz w:val="18"/>
            <w:szCs w:val="18"/>
          </w:rPr>
          <w:t>V.3. Problématique Foncière et Innovation Technologique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_Toc221173003 \h </w:instrText>
        </w:r>
        <w:r w:rsidR="00FC32BC" w:rsidRPr="00BB19EE">
          <w:rPr>
            <w:webHidden/>
            <w:sz w:val="18"/>
            <w:szCs w:val="18"/>
          </w:rPr>
        </w:r>
        <w:r w:rsidR="00FC32BC" w:rsidRPr="00BB19EE">
          <w:rPr>
            <w:webHidden/>
            <w:sz w:val="18"/>
            <w:szCs w:val="18"/>
          </w:rPr>
          <w:fldChar w:fldCharType="separate"/>
        </w:r>
        <w:r w:rsidR="001763CE">
          <w:rPr>
            <w:webHidden/>
            <w:sz w:val="18"/>
            <w:szCs w:val="18"/>
          </w:rPr>
          <w:t>4</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4" w:history="1">
        <w:r w:rsidR="00FC32BC" w:rsidRPr="00BB19EE">
          <w:rPr>
            <w:rStyle w:val="Lienhypertexte"/>
            <w:sz w:val="18"/>
            <w:szCs w:val="18"/>
          </w:rPr>
          <w:t>V.4. Promotion des Droits Humains et Inclusion Genre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_Toc221173004 \h </w:instrText>
        </w:r>
        <w:r w:rsidR="00FC32BC" w:rsidRPr="00BB19EE">
          <w:rPr>
            <w:webHidden/>
            <w:sz w:val="18"/>
            <w:szCs w:val="18"/>
          </w:rPr>
        </w:r>
        <w:r w:rsidR="00FC32BC" w:rsidRPr="00BB19EE">
          <w:rPr>
            <w:webHidden/>
            <w:sz w:val="18"/>
            <w:szCs w:val="18"/>
          </w:rPr>
          <w:fldChar w:fldCharType="separate"/>
        </w:r>
        <w:r w:rsidR="001763CE">
          <w:rPr>
            <w:webHidden/>
            <w:sz w:val="18"/>
            <w:szCs w:val="18"/>
          </w:rPr>
          <w:t>4</w:t>
        </w:r>
        <w:r w:rsidR="00FC32BC" w:rsidRPr="00BB19EE">
          <w:rPr>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05" w:history="1">
        <w:r w:rsidR="00FC32BC" w:rsidRPr="00BB19EE">
          <w:rPr>
            <w:rStyle w:val="Lienhypertexte"/>
            <w:b w:val="0"/>
            <w:sz w:val="18"/>
            <w:szCs w:val="18"/>
          </w:rPr>
          <w:t>V.5. Lutte contre les VSBG, la Traite des Personnes et Corruption au viol</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_Toc221173005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4</w:t>
        </w:r>
        <w:r w:rsidR="00FC32BC" w:rsidRPr="00BB19EE">
          <w:rPr>
            <w:b w:val="0"/>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6" w:history="1">
        <w:r w:rsidR="00FC32BC" w:rsidRPr="00BB19EE">
          <w:rPr>
            <w:rStyle w:val="Lienhypertexte"/>
            <w:sz w:val="18"/>
            <w:szCs w:val="18"/>
          </w:rPr>
          <w:t>V.6. Éducation Inclusive et Protection de l'Enfance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_Toc221173006 \h </w:instrText>
        </w:r>
        <w:r w:rsidR="00FC32BC" w:rsidRPr="00BB19EE">
          <w:rPr>
            <w:webHidden/>
            <w:sz w:val="18"/>
            <w:szCs w:val="18"/>
          </w:rPr>
        </w:r>
        <w:r w:rsidR="00FC32BC" w:rsidRPr="00BB19EE">
          <w:rPr>
            <w:webHidden/>
            <w:sz w:val="18"/>
            <w:szCs w:val="18"/>
          </w:rPr>
          <w:fldChar w:fldCharType="separate"/>
        </w:r>
        <w:r w:rsidR="001763CE">
          <w:rPr>
            <w:webHidden/>
            <w:sz w:val="18"/>
            <w:szCs w:val="18"/>
          </w:rPr>
          <w:t>4</w:t>
        </w:r>
        <w:r w:rsidR="00FC32BC" w:rsidRPr="00BB19EE">
          <w:rPr>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07" w:history="1">
        <w:r w:rsidR="00FC32BC" w:rsidRPr="00BB19EE">
          <w:rPr>
            <w:rStyle w:val="Lienhypertexte"/>
            <w:b w:val="0"/>
            <w:sz w:val="18"/>
            <w:szCs w:val="18"/>
          </w:rPr>
          <w:t>VI. Impact du Changement Climatique, Résilience et Exploitation Minière</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_Toc221173007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4</w:t>
        </w:r>
        <w:r w:rsidR="00FC32BC" w:rsidRPr="00BB19EE">
          <w:rPr>
            <w:b w:val="0"/>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8" w:history="1">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_Toc221173008 \h </w:instrText>
        </w:r>
        <w:r w:rsidR="00FC32BC" w:rsidRPr="00BB19EE">
          <w:rPr>
            <w:webHidden/>
            <w:sz w:val="18"/>
            <w:szCs w:val="18"/>
          </w:rPr>
        </w:r>
        <w:r w:rsidR="00FC32BC" w:rsidRPr="00BB19EE">
          <w:rPr>
            <w:webHidden/>
            <w:sz w:val="18"/>
            <w:szCs w:val="18"/>
          </w:rPr>
          <w:fldChar w:fldCharType="separate"/>
        </w:r>
        <w:r w:rsidR="001763CE">
          <w:rPr>
            <w:webHidden/>
            <w:sz w:val="18"/>
            <w:szCs w:val="18"/>
          </w:rPr>
          <w:t>5</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09" w:history="1">
        <w:r w:rsidR="00FC32BC" w:rsidRPr="00BB19EE">
          <w:rPr>
            <w:rStyle w:val="Lienhypertexte"/>
            <w:sz w:val="18"/>
            <w:szCs w:val="18"/>
          </w:rPr>
          <w:t>VI.1. Sinistres Agricoles et Chocs Pastoraux</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_Toc221173009 \h </w:instrText>
        </w:r>
        <w:r w:rsidR="00FC32BC" w:rsidRPr="00BB19EE">
          <w:rPr>
            <w:webHidden/>
            <w:sz w:val="18"/>
            <w:szCs w:val="18"/>
          </w:rPr>
        </w:r>
        <w:r w:rsidR="00FC32BC" w:rsidRPr="00BB19EE">
          <w:rPr>
            <w:webHidden/>
            <w:sz w:val="18"/>
            <w:szCs w:val="18"/>
          </w:rPr>
          <w:fldChar w:fldCharType="separate"/>
        </w:r>
        <w:r w:rsidR="001763CE">
          <w:rPr>
            <w:webHidden/>
            <w:sz w:val="18"/>
            <w:szCs w:val="18"/>
          </w:rPr>
          <w:t>6</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0" w:history="1">
        <w:r w:rsidR="00FC32BC" w:rsidRPr="00BB19EE">
          <w:rPr>
            <w:rStyle w:val="Lienhypertexte"/>
            <w:sz w:val="18"/>
            <w:szCs w:val="18"/>
          </w:rPr>
          <w:t>VI.2. Tragédie des Carrières : L'Or de la Mort</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_Toc221173010 \h </w:instrText>
        </w:r>
        <w:r w:rsidR="00FC32BC" w:rsidRPr="00BB19EE">
          <w:rPr>
            <w:webHidden/>
            <w:sz w:val="18"/>
            <w:szCs w:val="18"/>
          </w:rPr>
        </w:r>
        <w:r w:rsidR="00FC32BC" w:rsidRPr="00BB19EE">
          <w:rPr>
            <w:webHidden/>
            <w:sz w:val="18"/>
            <w:szCs w:val="18"/>
          </w:rPr>
          <w:fldChar w:fldCharType="separate"/>
        </w:r>
        <w:r w:rsidR="001763CE">
          <w:rPr>
            <w:webHidden/>
            <w:sz w:val="18"/>
            <w:szCs w:val="18"/>
          </w:rPr>
          <w:t>6</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1" w:history="1">
        <w:r w:rsidR="00FC32BC" w:rsidRPr="00BB19EE">
          <w:rPr>
            <w:rStyle w:val="Lienhypertexte"/>
            <w:sz w:val="18"/>
            <w:szCs w:val="18"/>
          </w:rPr>
          <w:t>VI.3. Échec de la Filière Maïs et Sécurité Alimentaire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_Toc221173011 \h </w:instrText>
        </w:r>
        <w:r w:rsidR="00FC32BC" w:rsidRPr="00BB19EE">
          <w:rPr>
            <w:webHidden/>
            <w:sz w:val="18"/>
            <w:szCs w:val="18"/>
          </w:rPr>
        </w:r>
        <w:r w:rsidR="00FC32BC" w:rsidRPr="00BB19EE">
          <w:rPr>
            <w:webHidden/>
            <w:sz w:val="18"/>
            <w:szCs w:val="18"/>
          </w:rPr>
          <w:fldChar w:fldCharType="separate"/>
        </w:r>
        <w:r w:rsidR="001763CE">
          <w:rPr>
            <w:webHidden/>
            <w:sz w:val="18"/>
            <w:szCs w:val="18"/>
          </w:rPr>
          <w:t>6</w:t>
        </w:r>
        <w:r w:rsidR="00FC32BC" w:rsidRPr="00BB19EE">
          <w:rPr>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12" w:history="1">
        <w:r w:rsidR="00FC32BC" w:rsidRPr="00BB19EE">
          <w:rPr>
            <w:rStyle w:val="Lienhypertexte"/>
            <w:b w:val="0"/>
            <w:sz w:val="18"/>
            <w:szCs w:val="18"/>
          </w:rPr>
          <w:t>VII. Nouveaux Défis et Perspectives Stratégiques 2026</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_Toc221173012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6</w:t>
        </w:r>
        <w:r w:rsidR="00FC32BC" w:rsidRPr="00BB19EE">
          <w:rPr>
            <w:b w:val="0"/>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3" w:history="1">
        <w:r w:rsidR="00FC32BC" w:rsidRPr="00BB19EE">
          <w:rPr>
            <w:rStyle w:val="Lienhypertexte"/>
            <w:sz w:val="18"/>
            <w:szCs w:val="18"/>
          </w:rPr>
          <w:t>VII.1. Justice Juvénile et Plaidoyer Sécuritaire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_Toc221173013 \h </w:instrText>
        </w:r>
        <w:r w:rsidR="00FC32BC" w:rsidRPr="00BB19EE">
          <w:rPr>
            <w:webHidden/>
            <w:sz w:val="18"/>
            <w:szCs w:val="18"/>
          </w:rPr>
        </w:r>
        <w:r w:rsidR="00FC32BC" w:rsidRPr="00BB19EE">
          <w:rPr>
            <w:webHidden/>
            <w:sz w:val="18"/>
            <w:szCs w:val="18"/>
          </w:rPr>
          <w:fldChar w:fldCharType="separate"/>
        </w:r>
        <w:r w:rsidR="001763CE">
          <w:rPr>
            <w:webHidden/>
            <w:sz w:val="18"/>
            <w:szCs w:val="18"/>
          </w:rPr>
          <w:t>6</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4" w:history="1">
        <w:r w:rsidR="00FC32BC" w:rsidRPr="00BB19EE">
          <w:rPr>
            <w:rStyle w:val="Lienhypertexte"/>
            <w:sz w:val="18"/>
            <w:szCs w:val="18"/>
          </w:rPr>
          <w:t>VII.2. Consolidation de la Paix par la Masculinité Positive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_Toc221173014 \h </w:instrText>
        </w:r>
        <w:r w:rsidR="00FC32BC" w:rsidRPr="00BB19EE">
          <w:rPr>
            <w:webHidden/>
            <w:sz w:val="18"/>
            <w:szCs w:val="18"/>
          </w:rPr>
        </w:r>
        <w:r w:rsidR="00FC32BC" w:rsidRPr="00BB19EE">
          <w:rPr>
            <w:webHidden/>
            <w:sz w:val="18"/>
            <w:szCs w:val="18"/>
          </w:rPr>
          <w:fldChar w:fldCharType="separate"/>
        </w:r>
        <w:r w:rsidR="001763CE">
          <w:rPr>
            <w:webHidden/>
            <w:sz w:val="18"/>
            <w:szCs w:val="18"/>
          </w:rPr>
          <w:t>7</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5" w:history="1">
        <w:r w:rsidR="00FC32BC" w:rsidRPr="00BB19EE">
          <w:rPr>
            <w:rStyle w:val="Lienhypertexte"/>
            <w:sz w:val="18"/>
            <w:szCs w:val="18"/>
          </w:rPr>
          <w:t>VII.3. Bureau Sous-Régional d'Études sur la Traite des Personnes</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_Toc221173015 \h </w:instrText>
        </w:r>
        <w:r w:rsidR="00FC32BC" w:rsidRPr="00BB19EE">
          <w:rPr>
            <w:webHidden/>
            <w:sz w:val="18"/>
            <w:szCs w:val="18"/>
          </w:rPr>
        </w:r>
        <w:r w:rsidR="00FC32BC" w:rsidRPr="00BB19EE">
          <w:rPr>
            <w:webHidden/>
            <w:sz w:val="18"/>
            <w:szCs w:val="18"/>
          </w:rPr>
          <w:fldChar w:fldCharType="separate"/>
        </w:r>
        <w:r w:rsidR="001763CE">
          <w:rPr>
            <w:webHidden/>
            <w:sz w:val="18"/>
            <w:szCs w:val="18"/>
          </w:rPr>
          <w:t>7</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6" w:history="1">
        <w:r w:rsidR="00FC32BC" w:rsidRPr="00BB19EE">
          <w:rPr>
            <w:rStyle w:val="Lienhypertexte"/>
            <w:sz w:val="18"/>
            <w:szCs w:val="18"/>
          </w:rPr>
          <w:t>VII.4. École de la Démocratie et de la Citoyenneté Responsable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_Toc221173016 \h </w:instrText>
        </w:r>
        <w:r w:rsidR="00FC32BC" w:rsidRPr="00BB19EE">
          <w:rPr>
            <w:webHidden/>
            <w:sz w:val="18"/>
            <w:szCs w:val="18"/>
          </w:rPr>
        </w:r>
        <w:r w:rsidR="00FC32BC" w:rsidRPr="00BB19EE">
          <w:rPr>
            <w:webHidden/>
            <w:sz w:val="18"/>
            <w:szCs w:val="18"/>
          </w:rPr>
          <w:fldChar w:fldCharType="separate"/>
        </w:r>
        <w:r w:rsidR="001763CE">
          <w:rPr>
            <w:webHidden/>
            <w:sz w:val="18"/>
            <w:szCs w:val="18"/>
          </w:rPr>
          <w:t>7</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17" w:history="1">
        <w:r w:rsidR="00FC32BC" w:rsidRPr="00BB19EE">
          <w:rPr>
            <w:rStyle w:val="Lienhypertexte"/>
            <w:sz w:val="18"/>
            <w:szCs w:val="18"/>
          </w:rPr>
          <w:t>VII.5. Autonomisation et Diplomatie Communautaire</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_Toc221173017 \h </w:instrText>
        </w:r>
        <w:r w:rsidR="00FC32BC" w:rsidRPr="00BB19EE">
          <w:rPr>
            <w:webHidden/>
            <w:sz w:val="18"/>
            <w:szCs w:val="18"/>
          </w:rPr>
        </w:r>
        <w:r w:rsidR="00FC32BC" w:rsidRPr="00BB19EE">
          <w:rPr>
            <w:webHidden/>
            <w:sz w:val="18"/>
            <w:szCs w:val="18"/>
          </w:rPr>
          <w:fldChar w:fldCharType="separate"/>
        </w:r>
        <w:r w:rsidR="001763CE">
          <w:rPr>
            <w:webHidden/>
            <w:sz w:val="18"/>
            <w:szCs w:val="18"/>
          </w:rPr>
          <w:t>7</w:t>
        </w:r>
        <w:r w:rsidR="00FC32BC" w:rsidRPr="00BB19EE">
          <w:rPr>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19" w:history="1">
        <w:r w:rsidR="00FC32BC" w:rsidRPr="00BB19EE">
          <w:rPr>
            <w:rStyle w:val="Lienhypertexte"/>
            <w:b w:val="0"/>
            <w:sz w:val="18"/>
            <w:szCs w:val="18"/>
          </w:rPr>
          <w:t>Des annexes Stratégiques :</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_Toc221173019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8</w:t>
        </w:r>
        <w:r w:rsidR="00FC32BC" w:rsidRPr="00BB19EE">
          <w:rPr>
            <w:b w:val="0"/>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20" w:history="1">
        <w:r w:rsidR="00FC32BC" w:rsidRPr="00BB19EE">
          <w:rPr>
            <w:rStyle w:val="Lienhypertexte"/>
            <w:b w:val="0"/>
            <w:sz w:val="18"/>
            <w:szCs w:val="18"/>
          </w:rPr>
          <w:t>VIII. Recommandations Stratégiques</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_Toc221173020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9</w:t>
        </w:r>
        <w:r w:rsidR="00FC32BC" w:rsidRPr="00BB19EE">
          <w:rPr>
            <w:b w:val="0"/>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21" w:history="1">
        <w:r w:rsidR="00FC32BC" w:rsidRPr="00BB19EE">
          <w:rPr>
            <w:rStyle w:val="Lienhypertexte"/>
            <w:sz w:val="18"/>
            <w:szCs w:val="18"/>
          </w:rPr>
          <w:t>A. Au Gouvernement Burundais</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_Toc221173021 \h </w:instrText>
        </w:r>
        <w:r w:rsidR="00FC32BC" w:rsidRPr="00BB19EE">
          <w:rPr>
            <w:webHidden/>
            <w:sz w:val="18"/>
            <w:szCs w:val="18"/>
          </w:rPr>
        </w:r>
        <w:r w:rsidR="00FC32BC" w:rsidRPr="00BB19EE">
          <w:rPr>
            <w:webHidden/>
            <w:sz w:val="18"/>
            <w:szCs w:val="18"/>
          </w:rPr>
          <w:fldChar w:fldCharType="separate"/>
        </w:r>
        <w:r w:rsidR="001763CE">
          <w:rPr>
            <w:webHidden/>
            <w:sz w:val="18"/>
            <w:szCs w:val="18"/>
          </w:rPr>
          <w:t>9</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22" w:history="1">
        <w:r w:rsidR="00FC32BC" w:rsidRPr="00BB19EE">
          <w:rPr>
            <w:rStyle w:val="Lienhypertexte"/>
            <w:sz w:val="18"/>
            <w:szCs w:val="18"/>
          </w:rPr>
          <w:t>B. Aux Organisations de la Société Civile (OSC)</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_Toc221173022 \h </w:instrText>
        </w:r>
        <w:r w:rsidR="00FC32BC" w:rsidRPr="00BB19EE">
          <w:rPr>
            <w:webHidden/>
            <w:sz w:val="18"/>
            <w:szCs w:val="18"/>
          </w:rPr>
        </w:r>
        <w:r w:rsidR="00FC32BC" w:rsidRPr="00BB19EE">
          <w:rPr>
            <w:webHidden/>
            <w:sz w:val="18"/>
            <w:szCs w:val="18"/>
          </w:rPr>
          <w:fldChar w:fldCharType="separate"/>
        </w:r>
        <w:r w:rsidR="001763CE">
          <w:rPr>
            <w:webHidden/>
            <w:sz w:val="18"/>
            <w:szCs w:val="18"/>
          </w:rPr>
          <w:t>9</w:t>
        </w:r>
        <w:r w:rsidR="00FC32BC" w:rsidRPr="00BB19EE">
          <w:rPr>
            <w:webHidden/>
            <w:sz w:val="18"/>
            <w:szCs w:val="18"/>
          </w:rPr>
          <w:fldChar w:fldCharType="end"/>
        </w:r>
      </w:hyperlink>
    </w:p>
    <w:p w:rsidR="00FC32BC" w:rsidRPr="00BB19EE" w:rsidRDefault="00AC35EF" w:rsidP="00FC32BC">
      <w:pPr>
        <w:pStyle w:val="TM4"/>
        <w:jc w:val="both"/>
        <w:rPr>
          <w:rFonts w:asciiTheme="minorHAnsi" w:eastAsiaTheme="minorEastAsia" w:hAnsiTheme="minorHAnsi" w:cstheme="minorBidi"/>
          <w:bCs w:val="0"/>
          <w:sz w:val="18"/>
          <w:szCs w:val="18"/>
        </w:rPr>
      </w:pPr>
      <w:hyperlink w:anchor="_Toc221173023" w:history="1">
        <w:r w:rsidR="00FC32BC" w:rsidRPr="00BB19EE">
          <w:rPr>
            <w:rStyle w:val="Lienhypertexte"/>
            <w:sz w:val="18"/>
            <w:szCs w:val="18"/>
          </w:rPr>
          <w:t>C. À la Communauté Internationale et aux ONG Onusiennes</w:t>
        </w:r>
        <w:r w:rsidR="00FC32BC" w:rsidRPr="00BB19EE">
          <w:rPr>
            <w:webHidden/>
            <w:sz w:val="18"/>
            <w:szCs w:val="18"/>
          </w:rPr>
          <w:tab/>
        </w:r>
        <w:r w:rsidR="00FC32BC" w:rsidRPr="00BB19EE">
          <w:rPr>
            <w:webHidden/>
            <w:sz w:val="18"/>
            <w:szCs w:val="18"/>
          </w:rPr>
          <w:fldChar w:fldCharType="begin"/>
        </w:r>
        <w:r w:rsidR="00FC32BC" w:rsidRPr="00BB19EE">
          <w:rPr>
            <w:webHidden/>
            <w:sz w:val="18"/>
            <w:szCs w:val="18"/>
          </w:rPr>
          <w:instrText xml:space="preserve"> PAGEREF _Toc221173023 \h </w:instrText>
        </w:r>
        <w:r w:rsidR="00FC32BC" w:rsidRPr="00BB19EE">
          <w:rPr>
            <w:webHidden/>
            <w:sz w:val="18"/>
            <w:szCs w:val="18"/>
          </w:rPr>
        </w:r>
        <w:r w:rsidR="00FC32BC" w:rsidRPr="00BB19EE">
          <w:rPr>
            <w:webHidden/>
            <w:sz w:val="18"/>
            <w:szCs w:val="18"/>
          </w:rPr>
          <w:fldChar w:fldCharType="separate"/>
        </w:r>
        <w:r w:rsidR="001763CE">
          <w:rPr>
            <w:webHidden/>
            <w:sz w:val="18"/>
            <w:szCs w:val="18"/>
          </w:rPr>
          <w:t>9</w:t>
        </w:r>
        <w:r w:rsidR="00FC32BC" w:rsidRPr="00BB19EE">
          <w:rPr>
            <w:webHidden/>
            <w:sz w:val="18"/>
            <w:szCs w:val="18"/>
          </w:rPr>
          <w:fldChar w:fldCharType="end"/>
        </w:r>
      </w:hyperlink>
    </w:p>
    <w:p w:rsidR="00FC32BC" w:rsidRPr="00BB19EE" w:rsidRDefault="00AC35EF" w:rsidP="00FC32BC">
      <w:pPr>
        <w:pStyle w:val="TM3"/>
        <w:jc w:val="both"/>
        <w:rPr>
          <w:rFonts w:asciiTheme="minorHAnsi" w:eastAsiaTheme="minorEastAsia" w:hAnsiTheme="minorHAnsi" w:cstheme="minorBidi"/>
          <w:b w:val="0"/>
          <w:sz w:val="18"/>
          <w:szCs w:val="18"/>
        </w:rPr>
      </w:pPr>
      <w:hyperlink w:anchor="_Toc221173024" w:history="1">
        <w:r w:rsidR="00FC32BC" w:rsidRPr="00BB19EE">
          <w:rPr>
            <w:rStyle w:val="Lienhypertexte"/>
            <w:b w:val="0"/>
            <w:sz w:val="18"/>
            <w:szCs w:val="18"/>
          </w:rPr>
          <w:t>IX. Remerciements</w:t>
        </w:r>
        <w:r w:rsidR="00FC32BC" w:rsidRPr="00BB19EE">
          <w:rPr>
            <w:b w:val="0"/>
            <w:webHidden/>
            <w:sz w:val="18"/>
            <w:szCs w:val="18"/>
          </w:rPr>
          <w:tab/>
        </w:r>
        <w:r w:rsidR="00FC32BC" w:rsidRPr="00BB19EE">
          <w:rPr>
            <w:b w:val="0"/>
            <w:webHidden/>
            <w:sz w:val="18"/>
            <w:szCs w:val="18"/>
          </w:rPr>
          <w:fldChar w:fldCharType="begin"/>
        </w:r>
        <w:r w:rsidR="00FC32BC" w:rsidRPr="00BB19EE">
          <w:rPr>
            <w:b w:val="0"/>
            <w:webHidden/>
            <w:sz w:val="18"/>
            <w:szCs w:val="18"/>
          </w:rPr>
          <w:instrText xml:space="preserve"> PAGEREF _Toc221173024 \h </w:instrText>
        </w:r>
        <w:r w:rsidR="00FC32BC" w:rsidRPr="00BB19EE">
          <w:rPr>
            <w:b w:val="0"/>
            <w:webHidden/>
            <w:sz w:val="18"/>
            <w:szCs w:val="18"/>
          </w:rPr>
        </w:r>
        <w:r w:rsidR="00FC32BC" w:rsidRPr="00BB19EE">
          <w:rPr>
            <w:b w:val="0"/>
            <w:webHidden/>
            <w:sz w:val="18"/>
            <w:szCs w:val="18"/>
          </w:rPr>
          <w:fldChar w:fldCharType="separate"/>
        </w:r>
        <w:r w:rsidR="001763CE">
          <w:rPr>
            <w:b w:val="0"/>
            <w:webHidden/>
            <w:sz w:val="18"/>
            <w:szCs w:val="18"/>
          </w:rPr>
          <w:t>9</w:t>
        </w:r>
        <w:r w:rsidR="00FC32BC" w:rsidRPr="00BB19EE">
          <w:rPr>
            <w:b w:val="0"/>
            <w:webHidden/>
            <w:sz w:val="18"/>
            <w:szCs w:val="18"/>
          </w:rPr>
          <w:fldChar w:fldCharType="end"/>
        </w:r>
      </w:hyperlink>
    </w:p>
    <w:p w:rsidR="00FC32BC" w:rsidRPr="00BB19EE" w:rsidRDefault="00FC32BC" w:rsidP="00FC32BC">
      <w:pPr>
        <w:pStyle w:val="Titre3"/>
        <w:jc w:val="both"/>
        <w:rPr>
          <w:b w:val="0"/>
        </w:rPr>
      </w:pPr>
      <w:r w:rsidRPr="00BB19EE">
        <w:rPr>
          <w:b w:val="0"/>
          <w:sz w:val="18"/>
          <w:szCs w:val="18"/>
        </w:rPr>
        <w:fldChar w:fldCharType="end"/>
      </w:r>
    </w:p>
    <w:p w:rsidR="00FC32BC" w:rsidRDefault="00FC32BC" w:rsidP="00FC32BC">
      <w:pPr>
        <w:pStyle w:val="Titre3"/>
        <w:jc w:val="both"/>
        <w:rPr>
          <w:b w:val="0"/>
        </w:rPr>
      </w:pPr>
    </w:p>
    <w:p w:rsidR="00FC32BC" w:rsidRDefault="00FC32BC" w:rsidP="00FC32BC">
      <w:pPr>
        <w:pStyle w:val="Titre3"/>
        <w:jc w:val="both"/>
        <w:rPr>
          <w:b w:val="0"/>
        </w:rPr>
      </w:pPr>
    </w:p>
    <w:p w:rsidR="00FC32BC" w:rsidRPr="00BB19EE" w:rsidRDefault="00FC32BC" w:rsidP="00FC32BC">
      <w:pPr>
        <w:pStyle w:val="Titre3"/>
        <w:jc w:val="both"/>
        <w:rPr>
          <w:b w:val="0"/>
        </w:rPr>
      </w:pPr>
    </w:p>
    <w:p w:rsidR="00FC32BC" w:rsidRPr="00EE0048" w:rsidRDefault="00FC32BC" w:rsidP="00FC32BC">
      <w:pPr>
        <w:pStyle w:val="Titre3"/>
        <w:jc w:val="both"/>
        <w:rPr>
          <w:lang w:val="en-US"/>
        </w:rPr>
      </w:pPr>
      <w:bookmarkStart w:id="3" w:name="_Toc221172992"/>
      <w:r>
        <w:rPr>
          <w:lang w:val="en-US"/>
        </w:rPr>
        <w:t>II</w:t>
      </w:r>
      <w:r w:rsidRPr="00EE0048">
        <w:rPr>
          <w:lang w:val="en-US"/>
        </w:rPr>
        <w:t>. Sigles et Abréviations</w:t>
      </w:r>
      <w:bookmarkEnd w:id="3"/>
    </w:p>
    <w:p w:rsidR="00FC32BC" w:rsidRPr="006B343C" w:rsidRDefault="00FC32BC" w:rsidP="00FC32BC">
      <w:pPr>
        <w:pStyle w:val="NormalWeb"/>
        <w:jc w:val="both"/>
        <w:rPr>
          <w:rStyle w:val="lev"/>
          <w:b w:val="0"/>
          <w:lang w:val="en-US"/>
        </w:rPr>
      </w:pPr>
      <w:r w:rsidRPr="006B343C">
        <w:rPr>
          <w:rStyle w:val="lev"/>
          <w:lang w:val="en-US"/>
        </w:rPr>
        <w:t xml:space="preserve">ACDHRS : </w:t>
      </w:r>
      <w:r w:rsidRPr="006B343C">
        <w:rPr>
          <w:rStyle w:val="lev"/>
          <w:b w:val="0"/>
          <w:lang w:val="en-US"/>
        </w:rPr>
        <w:t>African Centre for Dem</w:t>
      </w:r>
      <w:r>
        <w:rPr>
          <w:rStyle w:val="lev"/>
          <w:b w:val="0"/>
          <w:lang w:val="en-US"/>
        </w:rPr>
        <w:t>ocracy and Human Rights Studies</w:t>
      </w:r>
    </w:p>
    <w:p w:rsidR="00FC32BC" w:rsidRDefault="00FC32BC" w:rsidP="00FC32BC">
      <w:pPr>
        <w:pStyle w:val="NormalWeb"/>
        <w:jc w:val="both"/>
      </w:pPr>
      <w:r>
        <w:rPr>
          <w:rStyle w:val="lev"/>
        </w:rPr>
        <w:t>ALUCOVIS-APDD :</w:t>
      </w:r>
      <w:r>
        <w:t xml:space="preserve"> Association de Lutte Contre les Violences Sexuelles et Appui à la Promotion du Développement Durable</w:t>
      </w:r>
    </w:p>
    <w:p w:rsidR="00FC32BC" w:rsidRDefault="00FC32BC" w:rsidP="00FC32BC">
      <w:pPr>
        <w:pStyle w:val="NormalWeb"/>
        <w:jc w:val="both"/>
      </w:pPr>
      <w:r>
        <w:rPr>
          <w:rStyle w:val="lev"/>
        </w:rPr>
        <w:t>AVEC :</w:t>
      </w:r>
      <w:r>
        <w:t xml:space="preserve"> Associations Villageoises d’Épargne et de Crédit</w:t>
      </w:r>
    </w:p>
    <w:p w:rsidR="00FC32BC" w:rsidRDefault="00FC32BC" w:rsidP="00FC32BC">
      <w:pPr>
        <w:pStyle w:val="NormalWeb"/>
        <w:jc w:val="both"/>
      </w:pPr>
      <w:r>
        <w:rPr>
          <w:rStyle w:val="lev"/>
        </w:rPr>
        <w:t>BIF :</w:t>
      </w:r>
      <w:r>
        <w:t xml:space="preserve"> Franc Burundais</w:t>
      </w:r>
    </w:p>
    <w:p w:rsidR="00FC32BC" w:rsidRDefault="00FC32BC" w:rsidP="00FC32BC">
      <w:pPr>
        <w:pStyle w:val="NormalWeb"/>
        <w:jc w:val="both"/>
      </w:pPr>
      <w:r>
        <w:rPr>
          <w:rStyle w:val="lev"/>
        </w:rPr>
        <w:t>ECA-ACPC :</w:t>
      </w:r>
      <w:r>
        <w:t xml:space="preserve"> Commission Économique pour l'Afrique - Centre Africain pour la Politique Climatique</w:t>
      </w:r>
    </w:p>
    <w:p w:rsidR="00FC32BC" w:rsidRDefault="00FC32BC" w:rsidP="00FC32BC">
      <w:pPr>
        <w:pStyle w:val="NormalWeb"/>
        <w:jc w:val="both"/>
      </w:pPr>
      <w:r>
        <w:rPr>
          <w:rStyle w:val="lev"/>
        </w:rPr>
        <w:t>FOMI :</w:t>
      </w:r>
      <w:r>
        <w:t xml:space="preserve"> Fertilisants Organo-Minéraux des Industries (Usine d'engrais du Burundi)</w:t>
      </w:r>
    </w:p>
    <w:p w:rsidR="00FC32BC" w:rsidRDefault="00FC32BC" w:rsidP="00FC32BC">
      <w:pPr>
        <w:pStyle w:val="NormalWeb"/>
        <w:jc w:val="both"/>
      </w:pPr>
      <w:r>
        <w:rPr>
          <w:rStyle w:val="lev"/>
        </w:rPr>
        <w:t>GDT :</w:t>
      </w:r>
      <w:r>
        <w:t xml:space="preserve"> Gestion Durable des Terres</w:t>
      </w:r>
    </w:p>
    <w:p w:rsidR="00FC32BC" w:rsidRDefault="00FC32BC" w:rsidP="00FC32BC">
      <w:pPr>
        <w:pStyle w:val="NormalWeb"/>
        <w:jc w:val="both"/>
      </w:pPr>
      <w:r>
        <w:rPr>
          <w:rStyle w:val="lev"/>
        </w:rPr>
        <w:t>GPE :</w:t>
      </w:r>
      <w:r>
        <w:t xml:space="preserve"> Partenariat Mondial pour l'Éducation (Global Partnership for Education)</w:t>
      </w:r>
    </w:p>
    <w:p w:rsidR="00FC32BC" w:rsidRDefault="00FC32BC" w:rsidP="00FC32BC">
      <w:pPr>
        <w:pStyle w:val="NormalWeb"/>
        <w:jc w:val="both"/>
      </w:pPr>
      <w:r>
        <w:rPr>
          <w:rStyle w:val="lev"/>
        </w:rPr>
        <w:t>IUCN :</w:t>
      </w:r>
      <w:r>
        <w:t xml:space="preserve"> Union Internationale pour la Conservation de la Nature</w:t>
      </w:r>
    </w:p>
    <w:p w:rsidR="00FC32BC" w:rsidRDefault="00FC32BC" w:rsidP="00FC32BC">
      <w:pPr>
        <w:pStyle w:val="NormalWeb"/>
        <w:jc w:val="both"/>
      </w:pPr>
      <w:r>
        <w:rPr>
          <w:rStyle w:val="lev"/>
        </w:rPr>
        <w:t>MINEAGRI :</w:t>
      </w:r>
      <w:r>
        <w:t xml:space="preserve"> Ministère de l’Environnement, de l’Agriculture et de l’Élevage</w:t>
      </w:r>
    </w:p>
    <w:p w:rsidR="00FC32BC" w:rsidRDefault="00FC32BC" w:rsidP="00FC32BC">
      <w:pPr>
        <w:pStyle w:val="NormalWeb"/>
        <w:jc w:val="both"/>
      </w:pPr>
      <w:r>
        <w:rPr>
          <w:rStyle w:val="lev"/>
        </w:rPr>
        <w:t>ODD :</w:t>
      </w:r>
      <w:r>
        <w:t xml:space="preserve"> Objectifs de Développement Durable</w:t>
      </w:r>
    </w:p>
    <w:p w:rsidR="00FC32BC" w:rsidRDefault="00FC32BC" w:rsidP="00FC32BC">
      <w:pPr>
        <w:pStyle w:val="NormalWeb"/>
        <w:jc w:val="both"/>
      </w:pPr>
      <w:r>
        <w:rPr>
          <w:rStyle w:val="lev"/>
        </w:rPr>
        <w:t>OSC :</w:t>
      </w:r>
      <w:r>
        <w:t xml:space="preserve"> Organisation de la Société Civile</w:t>
      </w:r>
    </w:p>
    <w:p w:rsidR="00FC32BC" w:rsidRPr="006B343C" w:rsidRDefault="00FC32BC" w:rsidP="00FC32BC">
      <w:pPr>
        <w:pStyle w:val="NormalWeb"/>
        <w:jc w:val="both"/>
      </w:pPr>
      <w:r>
        <w:rPr>
          <w:b/>
        </w:rPr>
        <w:t xml:space="preserve">PFBC-CBFP : </w:t>
      </w:r>
      <w:r>
        <w:t>Plateforme de dialogue multi-acteurs unique pour la Conservation et la gestion durable des Forêts du bassin du Congo.</w:t>
      </w:r>
    </w:p>
    <w:p w:rsidR="00FC32BC" w:rsidRDefault="00FC32BC" w:rsidP="00FC32BC">
      <w:pPr>
        <w:pStyle w:val="NormalWeb"/>
        <w:jc w:val="both"/>
      </w:pPr>
      <w:r>
        <w:rPr>
          <w:rStyle w:val="lev"/>
        </w:rPr>
        <w:t>PND :</w:t>
      </w:r>
      <w:r>
        <w:t xml:space="preserve"> Plan National de Développement (période 2018-2027)</w:t>
      </w:r>
    </w:p>
    <w:p w:rsidR="00FC32BC" w:rsidRDefault="00FC32BC" w:rsidP="00FC32BC">
      <w:pPr>
        <w:pStyle w:val="NormalWeb"/>
        <w:jc w:val="both"/>
      </w:pPr>
      <w:r>
        <w:rPr>
          <w:rStyle w:val="lev"/>
        </w:rPr>
        <w:t>RD Congo :</w:t>
      </w:r>
      <w:r>
        <w:t xml:space="preserve"> République Démocratique du Congo</w:t>
      </w:r>
    </w:p>
    <w:p w:rsidR="00FC32BC" w:rsidRDefault="00FC32BC" w:rsidP="00FC32BC">
      <w:pPr>
        <w:pStyle w:val="NormalWeb"/>
        <w:jc w:val="both"/>
      </w:pPr>
      <w:r>
        <w:rPr>
          <w:rStyle w:val="lev"/>
        </w:rPr>
        <w:t>REGIDESO :</w:t>
      </w:r>
      <w:r>
        <w:t xml:space="preserve"> Régie de Production et de Distribution d'Eau et d'Électricité</w:t>
      </w:r>
    </w:p>
    <w:p w:rsidR="00FC32BC" w:rsidRPr="006B343C" w:rsidRDefault="00FC32BC" w:rsidP="00FC32BC">
      <w:pPr>
        <w:pStyle w:val="NormalWeb"/>
        <w:jc w:val="both"/>
        <w:rPr>
          <w:b/>
        </w:rPr>
      </w:pPr>
      <w:r>
        <w:rPr>
          <w:b/>
        </w:rPr>
        <w:t xml:space="preserve">Réseau-DESC : </w:t>
      </w:r>
      <w:r w:rsidRPr="006B343C">
        <w:t>Réseau International pour les Droits Economiques, Sociaux et Culturels</w:t>
      </w:r>
    </w:p>
    <w:p w:rsidR="00FC32BC" w:rsidRDefault="00FC32BC" w:rsidP="00FC32BC">
      <w:pPr>
        <w:pStyle w:val="NormalWeb"/>
        <w:jc w:val="both"/>
      </w:pPr>
      <w:r>
        <w:rPr>
          <w:rStyle w:val="lev"/>
        </w:rPr>
        <w:t>UNCCD :</w:t>
      </w:r>
      <w:r>
        <w:t xml:space="preserve"> Convention des Nations Unies sur la Lutte contre la Désertification</w:t>
      </w:r>
    </w:p>
    <w:p w:rsidR="00FC32BC" w:rsidRDefault="00FC32BC" w:rsidP="00FC32BC">
      <w:pPr>
        <w:pStyle w:val="NormalWeb"/>
        <w:jc w:val="both"/>
      </w:pPr>
      <w:r>
        <w:rPr>
          <w:rStyle w:val="lev"/>
        </w:rPr>
        <w:t>UNEP :</w:t>
      </w:r>
      <w:r>
        <w:t xml:space="preserve"> Programme des Nations Unies pour l'Environnement (PNUE)</w:t>
      </w:r>
    </w:p>
    <w:p w:rsidR="00FC32BC" w:rsidRDefault="00FC32BC" w:rsidP="00FC32BC">
      <w:pPr>
        <w:pStyle w:val="NormalWeb"/>
        <w:jc w:val="both"/>
      </w:pPr>
      <w:r>
        <w:rPr>
          <w:rStyle w:val="lev"/>
        </w:rPr>
        <w:t>UNODC :</w:t>
      </w:r>
      <w:r>
        <w:t xml:space="preserve"> Office des Nations Unies contre la Drogue et le Crime</w:t>
      </w:r>
    </w:p>
    <w:p w:rsidR="00FC32BC" w:rsidRDefault="00FC32BC" w:rsidP="00FC32BC">
      <w:pPr>
        <w:pStyle w:val="NormalWeb"/>
        <w:jc w:val="both"/>
      </w:pPr>
      <w:r>
        <w:rPr>
          <w:rStyle w:val="lev"/>
        </w:rPr>
        <w:t>VSBG :</w:t>
      </w:r>
      <w:r>
        <w:t xml:space="preserve"> Violences Sexuelles et Basées sur le Genre</w:t>
      </w:r>
    </w:p>
    <w:p w:rsidR="00FC32BC" w:rsidRPr="00343DB9" w:rsidRDefault="00FC32BC" w:rsidP="00FC32BC">
      <w:pPr>
        <w:pStyle w:val="NormalWeb"/>
        <w:jc w:val="both"/>
      </w:pPr>
      <w:r w:rsidRPr="00343DB9">
        <w:rPr>
          <w:b/>
        </w:rPr>
        <w:t xml:space="preserve">VBG : </w:t>
      </w:r>
      <w:r w:rsidRPr="00343DB9">
        <w:t>Violence</w:t>
      </w:r>
      <w:r>
        <w:t>s</w:t>
      </w:r>
      <w:r w:rsidRPr="00343DB9">
        <w:t xml:space="preserve"> basée</w:t>
      </w:r>
      <w:r>
        <w:t>s</w:t>
      </w:r>
      <w:r w:rsidRPr="00343DB9">
        <w:t xml:space="preserve"> sur le </w:t>
      </w:r>
      <w:r>
        <w:t>Genre</w:t>
      </w:r>
    </w:p>
    <w:p w:rsidR="00FC32BC" w:rsidRPr="00343DB9" w:rsidRDefault="00FC32BC" w:rsidP="00FC32BC">
      <w:pPr>
        <w:pStyle w:val="NormalWeb"/>
        <w:jc w:val="both"/>
        <w:rPr>
          <w:lang w:val="en-US"/>
        </w:rPr>
      </w:pPr>
      <w:r w:rsidRPr="00343DB9">
        <w:rPr>
          <w:b/>
          <w:lang w:val="en-US"/>
        </w:rPr>
        <w:t>WOCAT:</w:t>
      </w:r>
      <w:r w:rsidRPr="00343DB9">
        <w:rPr>
          <w:lang w:val="en-US"/>
        </w:rPr>
        <w:t xml:space="preserve"> World Overview of Conservation Approaches and Technologies</w:t>
      </w:r>
    </w:p>
    <w:p w:rsidR="00FC32BC" w:rsidRPr="0044325A" w:rsidRDefault="00FC32BC" w:rsidP="00FC32BC">
      <w:pPr>
        <w:pStyle w:val="Titre3"/>
        <w:shd w:val="clear" w:color="auto" w:fill="FFF2CC" w:themeFill="accent4" w:themeFillTint="33"/>
        <w:jc w:val="both"/>
        <w:rPr>
          <w:rFonts w:ascii="Century Gothic" w:hAnsi="Century Gothic"/>
          <w:sz w:val="24"/>
        </w:rPr>
      </w:pPr>
      <w:bookmarkStart w:id="4" w:name="_Toc221172993"/>
      <w:r>
        <w:rPr>
          <w:rFonts w:ascii="Century Gothic" w:hAnsi="Century Gothic"/>
          <w:sz w:val="24"/>
        </w:rPr>
        <w:t>II.1.Note de Présentation e</w:t>
      </w:r>
      <w:r w:rsidRPr="0044325A">
        <w:rPr>
          <w:rFonts w:ascii="Century Gothic" w:hAnsi="Century Gothic"/>
          <w:sz w:val="24"/>
        </w:rPr>
        <w:t>t Cadre Éthique</w:t>
      </w:r>
      <w:bookmarkEnd w:id="4"/>
    </w:p>
    <w:p w:rsidR="00FC32BC" w:rsidRPr="0044325A" w:rsidRDefault="00FC32BC" w:rsidP="00FC32BC">
      <w:pPr>
        <w:pStyle w:val="NormalWeb"/>
        <w:shd w:val="clear" w:color="auto" w:fill="FFF2CC" w:themeFill="accent4" w:themeFillTint="33"/>
        <w:jc w:val="both"/>
        <w:rPr>
          <w:rFonts w:ascii="Century Gothic" w:hAnsi="Century Gothic"/>
          <w:sz w:val="22"/>
        </w:rPr>
      </w:pPr>
      <w:r w:rsidRPr="0044325A">
        <w:rPr>
          <w:rFonts w:ascii="Century Gothic" w:hAnsi="Century Gothic"/>
          <w:sz w:val="22"/>
        </w:rPr>
        <w:t>À l’attention des lecteurs, décideurs d’opinions et partenaires au développement :</w:t>
      </w:r>
    </w:p>
    <w:p w:rsidR="00FC32BC" w:rsidRDefault="00FC32BC" w:rsidP="00FC32BC">
      <w:pPr>
        <w:pStyle w:val="NormalWeb"/>
        <w:shd w:val="clear" w:color="auto" w:fill="FFF2CC" w:themeFill="accent4" w:themeFillTint="33"/>
        <w:jc w:val="both"/>
        <w:rPr>
          <w:rFonts w:ascii="Century Gothic" w:hAnsi="Century Gothic"/>
          <w:sz w:val="22"/>
        </w:rPr>
      </w:pPr>
      <w:r w:rsidRPr="0044325A">
        <w:rPr>
          <w:rFonts w:ascii="Century Gothic" w:hAnsi="Century Gothic"/>
          <w:sz w:val="22"/>
        </w:rPr>
        <w:t xml:space="preserve">L’ALUCOVIS-APDD est une organisation de la société civile qui œuvre de manière </w:t>
      </w:r>
      <w:r w:rsidRPr="0044325A">
        <w:rPr>
          <w:rStyle w:val="lev"/>
          <w:rFonts w:ascii="Century Gothic" w:hAnsi="Century Gothic"/>
          <w:sz w:val="22"/>
        </w:rPr>
        <w:t>bénévole</w:t>
      </w:r>
      <w:r w:rsidRPr="0044325A">
        <w:rPr>
          <w:rFonts w:ascii="Century Gothic" w:hAnsi="Century Gothic"/>
          <w:sz w:val="22"/>
        </w:rPr>
        <w:t xml:space="preserve"> à travers des interventions stratégiques alliant initiatives de développement et protection intégrale des droits humains. </w:t>
      </w:r>
    </w:p>
    <w:p w:rsidR="00FC32BC" w:rsidRPr="0044325A" w:rsidRDefault="00FC32BC" w:rsidP="00FC32BC">
      <w:pPr>
        <w:pStyle w:val="NormalWeb"/>
        <w:shd w:val="clear" w:color="auto" w:fill="FFF2CC" w:themeFill="accent4" w:themeFillTint="33"/>
        <w:jc w:val="both"/>
        <w:rPr>
          <w:rFonts w:ascii="Century Gothic" w:hAnsi="Century Gothic"/>
          <w:sz w:val="22"/>
        </w:rPr>
      </w:pPr>
      <w:r w:rsidRPr="0044325A">
        <w:rPr>
          <w:rFonts w:ascii="Century Gothic" w:hAnsi="Century Gothic"/>
          <w:sz w:val="22"/>
        </w:rPr>
        <w:t>Pour garantir son efficacité sur l'ensemble du territoire et dans la sous-région, l'association dispose d'une structure opérationnelle décentralisée comprenant :</w:t>
      </w:r>
    </w:p>
    <w:p w:rsidR="00FC32BC" w:rsidRPr="0044325A" w:rsidRDefault="00FC32BC" w:rsidP="00FC32BC">
      <w:pPr>
        <w:pStyle w:val="NormalWeb"/>
        <w:numPr>
          <w:ilvl w:val="0"/>
          <w:numId w:val="25"/>
        </w:numPr>
        <w:shd w:val="clear" w:color="auto" w:fill="FFF2CC" w:themeFill="accent4" w:themeFillTint="33"/>
        <w:jc w:val="both"/>
        <w:rPr>
          <w:rFonts w:ascii="Century Gothic" w:hAnsi="Century Gothic"/>
          <w:sz w:val="22"/>
        </w:rPr>
      </w:pPr>
      <w:r w:rsidRPr="0044325A">
        <w:rPr>
          <w:rFonts w:ascii="Century Gothic" w:hAnsi="Century Gothic"/>
          <w:sz w:val="22"/>
        </w:rPr>
        <w:t xml:space="preserve">Des </w:t>
      </w:r>
      <w:r w:rsidRPr="0044325A">
        <w:rPr>
          <w:rStyle w:val="lev"/>
          <w:rFonts w:ascii="Century Gothic" w:hAnsi="Century Gothic"/>
          <w:sz w:val="22"/>
        </w:rPr>
        <w:t>Points Focaux Provinciaux (PFP)</w:t>
      </w:r>
      <w:r w:rsidRPr="0044325A">
        <w:rPr>
          <w:rFonts w:ascii="Century Gothic" w:hAnsi="Century Gothic"/>
          <w:sz w:val="22"/>
        </w:rPr>
        <w:t xml:space="preserve"> assurant une veille de proximité</w:t>
      </w:r>
      <w:r>
        <w:rPr>
          <w:rFonts w:ascii="Century Gothic" w:hAnsi="Century Gothic"/>
          <w:sz w:val="22"/>
        </w:rPr>
        <w:t xml:space="preserve"> jouissant du monitoring sur de violations des droits de la personne humaine, de l’environnement et ses biodiversités.</w:t>
      </w:r>
    </w:p>
    <w:p w:rsidR="00FC32BC" w:rsidRPr="0044325A" w:rsidRDefault="00FC32BC" w:rsidP="00FC32BC">
      <w:pPr>
        <w:pStyle w:val="NormalWeb"/>
        <w:numPr>
          <w:ilvl w:val="0"/>
          <w:numId w:val="25"/>
        </w:numPr>
        <w:shd w:val="clear" w:color="auto" w:fill="FFF2CC" w:themeFill="accent4" w:themeFillTint="33"/>
        <w:jc w:val="both"/>
        <w:rPr>
          <w:rFonts w:ascii="Century Gothic" w:hAnsi="Century Gothic"/>
          <w:sz w:val="22"/>
        </w:rPr>
      </w:pPr>
      <w:r w:rsidRPr="0044325A">
        <w:rPr>
          <w:rFonts w:ascii="Century Gothic" w:hAnsi="Century Gothic"/>
          <w:sz w:val="22"/>
        </w:rPr>
        <w:t xml:space="preserve">Des </w:t>
      </w:r>
      <w:r w:rsidRPr="0044325A">
        <w:rPr>
          <w:rStyle w:val="lev"/>
          <w:rFonts w:ascii="Century Gothic" w:hAnsi="Century Gothic"/>
          <w:sz w:val="22"/>
        </w:rPr>
        <w:t>Coordonnateurs Régionaux</w:t>
      </w:r>
      <w:r w:rsidRPr="0044325A">
        <w:rPr>
          <w:rFonts w:ascii="Century Gothic" w:hAnsi="Century Gothic"/>
          <w:sz w:val="22"/>
        </w:rPr>
        <w:t xml:space="preserve"> supervisant les dynamiques territoriales</w:t>
      </w:r>
      <w:r>
        <w:rPr>
          <w:rFonts w:ascii="Century Gothic" w:hAnsi="Century Gothic"/>
          <w:sz w:val="22"/>
        </w:rPr>
        <w:t xml:space="preserve"> tout en rapportant les actions bénévoles des PFP</w:t>
      </w:r>
      <w:r w:rsidRPr="0044325A">
        <w:rPr>
          <w:rFonts w:ascii="Century Gothic" w:hAnsi="Century Gothic"/>
          <w:sz w:val="22"/>
        </w:rPr>
        <w:t>.</w:t>
      </w:r>
    </w:p>
    <w:p w:rsidR="00FC32BC" w:rsidRPr="0044325A" w:rsidRDefault="00FC32BC" w:rsidP="00FC32BC">
      <w:pPr>
        <w:pStyle w:val="NormalWeb"/>
        <w:numPr>
          <w:ilvl w:val="0"/>
          <w:numId w:val="25"/>
        </w:numPr>
        <w:shd w:val="clear" w:color="auto" w:fill="FFF2CC" w:themeFill="accent4" w:themeFillTint="33"/>
        <w:jc w:val="both"/>
        <w:rPr>
          <w:rFonts w:ascii="Century Gothic" w:hAnsi="Century Gothic"/>
          <w:sz w:val="22"/>
        </w:rPr>
      </w:pPr>
      <w:r w:rsidRPr="0044325A">
        <w:rPr>
          <w:rFonts w:ascii="Century Gothic" w:hAnsi="Century Gothic"/>
          <w:sz w:val="22"/>
        </w:rPr>
        <w:t xml:space="preserve">Des </w:t>
      </w:r>
      <w:r w:rsidRPr="0044325A">
        <w:rPr>
          <w:rStyle w:val="lev"/>
          <w:rFonts w:ascii="Century Gothic" w:hAnsi="Century Gothic"/>
          <w:sz w:val="22"/>
        </w:rPr>
        <w:t>Animateurs et Vulgarisateurs Communautaires</w:t>
      </w:r>
      <w:r w:rsidRPr="0044325A">
        <w:rPr>
          <w:rFonts w:ascii="Century Gothic" w:hAnsi="Century Gothic"/>
          <w:sz w:val="22"/>
        </w:rPr>
        <w:t xml:space="preserve"> au contact direct des populations à la base.</w:t>
      </w:r>
    </w:p>
    <w:p w:rsidR="00FC32BC" w:rsidRDefault="00FC32BC" w:rsidP="00FC32BC">
      <w:pPr>
        <w:pStyle w:val="NormalWeb"/>
        <w:shd w:val="clear" w:color="auto" w:fill="FFF2CC" w:themeFill="accent4" w:themeFillTint="33"/>
        <w:jc w:val="both"/>
        <w:rPr>
          <w:rFonts w:ascii="Century Gothic" w:hAnsi="Century Gothic"/>
          <w:sz w:val="22"/>
        </w:rPr>
      </w:pPr>
      <w:r w:rsidRPr="0044325A">
        <w:rPr>
          <w:rStyle w:val="lev"/>
          <w:rFonts w:ascii="Century Gothic" w:hAnsi="Century Gothic"/>
          <w:sz w:val="22"/>
        </w:rPr>
        <w:t>Confidentialité et Protection :</w:t>
      </w:r>
      <w:r w:rsidRPr="0044325A">
        <w:rPr>
          <w:rFonts w:ascii="Century Gothic" w:hAnsi="Century Gothic"/>
          <w:sz w:val="22"/>
        </w:rPr>
        <w:t xml:space="preserve"> Conformément aux principes de la </w:t>
      </w:r>
      <w:r w:rsidRPr="0044325A">
        <w:rPr>
          <w:rStyle w:val="lev"/>
          <w:rFonts w:ascii="Century Gothic" w:hAnsi="Century Gothic"/>
          <w:sz w:val="22"/>
        </w:rPr>
        <w:t>Justice Transitionnelle</w:t>
      </w:r>
      <w:r w:rsidRPr="0044325A">
        <w:rPr>
          <w:rFonts w:ascii="Century Gothic" w:hAnsi="Century Gothic"/>
          <w:sz w:val="22"/>
        </w:rPr>
        <w:t xml:space="preserve">, de la </w:t>
      </w:r>
      <w:r w:rsidRPr="0044325A">
        <w:rPr>
          <w:rStyle w:val="lev"/>
          <w:rFonts w:ascii="Century Gothic" w:hAnsi="Century Gothic"/>
          <w:sz w:val="22"/>
        </w:rPr>
        <w:t>Justice Climatique</w:t>
      </w:r>
      <w:r w:rsidRPr="0044325A">
        <w:rPr>
          <w:rFonts w:ascii="Century Gothic" w:hAnsi="Century Gothic"/>
          <w:sz w:val="22"/>
        </w:rPr>
        <w:t xml:space="preserve"> et de l'éthique judiciaire, le présent rapport garantit le strict </w:t>
      </w:r>
      <w:r w:rsidRPr="0044325A">
        <w:rPr>
          <w:rStyle w:val="lev"/>
          <w:rFonts w:ascii="Century Gothic" w:hAnsi="Century Gothic"/>
          <w:sz w:val="22"/>
        </w:rPr>
        <w:t>anonymat</w:t>
      </w:r>
      <w:r>
        <w:rPr>
          <w:rFonts w:ascii="Century Gothic" w:hAnsi="Century Gothic"/>
          <w:sz w:val="22"/>
        </w:rPr>
        <w:t xml:space="preserve"> de sources de données statistiques énoncées dans ce rapport, des</w:t>
      </w:r>
      <w:r w:rsidRPr="0044325A">
        <w:rPr>
          <w:rFonts w:ascii="Century Gothic" w:hAnsi="Century Gothic"/>
          <w:sz w:val="22"/>
        </w:rPr>
        <w:t xml:space="preserve"> témoins et des victimes. </w:t>
      </w:r>
    </w:p>
    <w:p w:rsidR="00FC32BC" w:rsidRDefault="00FC32BC" w:rsidP="00FC32BC">
      <w:pPr>
        <w:pStyle w:val="NormalWeb"/>
        <w:shd w:val="clear" w:color="auto" w:fill="FFF2CC" w:themeFill="accent4" w:themeFillTint="33"/>
        <w:jc w:val="both"/>
        <w:rPr>
          <w:rFonts w:ascii="Century Gothic" w:hAnsi="Century Gothic"/>
          <w:sz w:val="22"/>
        </w:rPr>
      </w:pPr>
      <w:r w:rsidRPr="0044325A">
        <w:rPr>
          <w:rFonts w:ascii="Century Gothic" w:hAnsi="Century Gothic"/>
          <w:sz w:val="22"/>
        </w:rPr>
        <w:t xml:space="preserve">Cette mesure est essentielle pour assurer la protection des victimes de violations ainsi que la sécurité des défenseurs des droits humains opérant dans des contextes sensibles. </w:t>
      </w:r>
    </w:p>
    <w:p w:rsidR="00FC32BC" w:rsidRPr="0044325A" w:rsidRDefault="00FC32BC" w:rsidP="00FC32BC">
      <w:pPr>
        <w:pStyle w:val="NormalWeb"/>
        <w:shd w:val="clear" w:color="auto" w:fill="FFF2CC" w:themeFill="accent4" w:themeFillTint="33"/>
        <w:jc w:val="both"/>
        <w:rPr>
          <w:rFonts w:ascii="Century Gothic" w:hAnsi="Century Gothic"/>
          <w:sz w:val="22"/>
        </w:rPr>
      </w:pPr>
      <w:r w:rsidRPr="0044325A">
        <w:rPr>
          <w:rFonts w:ascii="Century Gothic" w:hAnsi="Century Gothic"/>
          <w:sz w:val="22"/>
        </w:rPr>
        <w:t>Les données présentées ici servent le plaidoyer et la vérité historique sans compromettre l'intégrité physique</w:t>
      </w:r>
      <w:r>
        <w:rPr>
          <w:rFonts w:ascii="Century Gothic" w:hAnsi="Century Gothic"/>
          <w:sz w:val="22"/>
        </w:rPr>
        <w:t xml:space="preserve"> ou morale des personnes ou d’institutions citées.</w:t>
      </w:r>
    </w:p>
    <w:p w:rsidR="00FC32BC" w:rsidRPr="00FC32BC" w:rsidRDefault="00FC32BC" w:rsidP="00FC32BC">
      <w:pPr>
        <w:spacing w:before="100" w:beforeAutospacing="1" w:after="100" w:afterAutospacing="1" w:line="240" w:lineRule="auto"/>
        <w:jc w:val="both"/>
        <w:outlineLvl w:val="2"/>
        <w:rPr>
          <w:rFonts w:ascii="Century Gothic" w:eastAsia="Times New Roman" w:hAnsi="Century Gothic" w:cs="Times New Roman"/>
          <w:bCs/>
          <w:color w:val="00B050"/>
          <w:sz w:val="18"/>
          <w:szCs w:val="20"/>
          <w:lang w:eastAsia="fr-FR"/>
        </w:rPr>
      </w:pPr>
      <w:bookmarkStart w:id="5" w:name="_Toc221172994"/>
      <w:r w:rsidRPr="00594288">
        <w:rPr>
          <w:rFonts w:ascii="Century Gothic" w:hAnsi="Century Gothic" w:cs="Arial"/>
          <w:noProof/>
          <w:color w:val="C00000"/>
          <w:sz w:val="18"/>
          <w:szCs w:val="20"/>
          <w:lang w:eastAsia="fr-FR"/>
        </w:rPr>
        <w:drawing>
          <wp:anchor distT="0" distB="0" distL="114300" distR="114300" simplePos="0" relativeHeight="251670528" behindDoc="0" locked="0" layoutInCell="1" allowOverlap="1" wp14:anchorId="68A7054E" wp14:editId="6A836FC7">
            <wp:simplePos x="0" y="0"/>
            <wp:positionH relativeFrom="column">
              <wp:posOffset>-833120</wp:posOffset>
            </wp:positionH>
            <wp:positionV relativeFrom="paragraph">
              <wp:posOffset>419100</wp:posOffset>
            </wp:positionV>
            <wp:extent cx="7419975" cy="3343275"/>
            <wp:effectExtent l="0" t="0" r="9525" b="9525"/>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pic:blipFill>
                  <pic:spPr>
                    <a:xfrm>
                      <a:off x="0" y="0"/>
                      <a:ext cx="7419975" cy="3343275"/>
                    </a:xfrm>
                    <a:prstGeom prst="rect">
                      <a:avLst/>
                    </a:prstGeom>
                  </pic:spPr>
                </pic:pic>
              </a:graphicData>
            </a:graphic>
            <wp14:sizeRelH relativeFrom="margin">
              <wp14:pctWidth>0</wp14:pctWidth>
            </wp14:sizeRelH>
            <wp14:sizeRelV relativeFrom="margin">
              <wp14:pctHeight>0</wp14:pctHeight>
            </wp14:sizeRelV>
          </wp:anchor>
        </w:drawing>
      </w:r>
      <w:r w:rsidRPr="00594288">
        <w:rPr>
          <w:rFonts w:ascii="Century Gothic" w:eastAsia="Times New Roman" w:hAnsi="Century Gothic" w:cs="Arial"/>
          <w:bCs/>
          <w:color w:val="C00000"/>
          <w:sz w:val="18"/>
          <w:szCs w:val="20"/>
          <w:lang w:eastAsia="fr-FR"/>
        </w:rPr>
        <w:t xml:space="preserve">Fig1. </w:t>
      </w:r>
      <w:r w:rsidRPr="00FC32BC">
        <w:rPr>
          <w:rFonts w:ascii="Century Gothic" w:eastAsia="Times New Roman" w:hAnsi="Century Gothic" w:cs="Arial"/>
          <w:bCs/>
          <w:color w:val="00B0F0"/>
          <w:sz w:val="18"/>
          <w:szCs w:val="20"/>
          <w:lang w:eastAsia="fr-FR"/>
        </w:rPr>
        <w:t>La relocalisation des Sinistrés de Gatumba à Buganda (réponses au changement climatique et gestion de catastrophes</w:t>
      </w:r>
      <w:r>
        <w:rPr>
          <w:rFonts w:ascii="Century Gothic" w:eastAsia="Times New Roman" w:hAnsi="Century Gothic" w:cs="Arial"/>
          <w:bCs/>
          <w:color w:val="00B050"/>
          <w:sz w:val="18"/>
          <w:szCs w:val="20"/>
          <w:lang w:eastAsia="fr-FR"/>
        </w:rPr>
        <w:t>,</w:t>
      </w:r>
      <w:r w:rsidRPr="00A94C90">
        <w:rPr>
          <w:rFonts w:ascii="Century Gothic" w:eastAsia="Times New Roman" w:hAnsi="Century Gothic" w:cs="Times New Roman"/>
          <w:bCs/>
          <w:sz w:val="18"/>
          <w:szCs w:val="20"/>
          <w:lang w:eastAsia="fr-FR"/>
        </w:rPr>
        <w:t xml:space="preserve"> </w:t>
      </w:r>
      <w:r w:rsidRPr="00FC32BC">
        <w:rPr>
          <w:rFonts w:ascii="Century Gothic" w:eastAsia="Times New Roman" w:hAnsi="Century Gothic" w:cs="Times New Roman"/>
          <w:bCs/>
          <w:color w:val="00B050"/>
          <w:sz w:val="18"/>
          <w:szCs w:val="20"/>
          <w:lang w:eastAsia="fr-FR"/>
        </w:rPr>
        <w:t>période 2024 vers fin 2025.</w:t>
      </w:r>
      <w:bookmarkEnd w:id="5"/>
    </w:p>
    <w:p w:rsidR="00FC32BC" w:rsidRPr="00A94C90" w:rsidRDefault="00FC32BC" w:rsidP="00FC32BC">
      <w:pPr>
        <w:jc w:val="both"/>
        <w:rPr>
          <w:rFonts w:ascii="Century Gothic" w:eastAsia="Times New Roman" w:hAnsi="Century Gothic" w:cs="Times New Roman"/>
          <w:sz w:val="18"/>
          <w:szCs w:val="20"/>
          <w:lang w:eastAsia="fr-FR"/>
        </w:rPr>
        <w:sectPr w:rsidR="00FC32BC" w:rsidRPr="00A94C90" w:rsidSect="00A1577A">
          <w:headerReference w:type="default" r:id="rId11"/>
          <w:footerReference w:type="default" r:id="rId12"/>
          <w:footerReference w:type="first" r:id="rId13"/>
          <w:pgSz w:w="11906" w:h="16838"/>
          <w:pgMar w:top="851" w:right="1417" w:bottom="1417" w:left="1417" w:header="708" w:footer="708" w:gutter="0"/>
          <w:pgNumType w:start="0"/>
          <w:cols w:space="708"/>
          <w:titlePg/>
          <w:docGrid w:linePitch="360"/>
        </w:sectPr>
      </w:pPr>
    </w:p>
    <w:p w:rsidR="00FC32BC" w:rsidRDefault="00B37DCE" w:rsidP="001A143F">
      <w:pPr>
        <w:spacing w:after="0" w:line="240" w:lineRule="auto"/>
        <w:jc w:val="both"/>
        <w:outlineLvl w:val="2"/>
        <w:rPr>
          <w:rFonts w:ascii="Century Gothic" w:eastAsia="Times New Roman" w:hAnsi="Century Gothic" w:cs="Times New Roman"/>
          <w:b/>
          <w:bCs/>
          <w:sz w:val="16"/>
          <w:szCs w:val="18"/>
          <w:lang w:eastAsia="fr-FR"/>
        </w:rPr>
      </w:pPr>
      <w:bookmarkStart w:id="6" w:name="_Toc221172995"/>
      <w:r w:rsidRPr="00594288">
        <w:rPr>
          <w:b/>
          <w:noProof/>
          <w:color w:val="C00000"/>
          <w:sz w:val="16"/>
          <w:szCs w:val="18"/>
          <w:lang w:eastAsia="fr-FR"/>
        </w:rPr>
        <w:drawing>
          <wp:anchor distT="0" distB="0" distL="114300" distR="114300" simplePos="0" relativeHeight="251669504" behindDoc="0" locked="0" layoutInCell="1" allowOverlap="1" wp14:anchorId="047492BC" wp14:editId="072DE475">
            <wp:simplePos x="0" y="0"/>
            <wp:positionH relativeFrom="column">
              <wp:posOffset>-367030</wp:posOffset>
            </wp:positionH>
            <wp:positionV relativeFrom="paragraph">
              <wp:posOffset>4445</wp:posOffset>
            </wp:positionV>
            <wp:extent cx="9525000" cy="4019550"/>
            <wp:effectExtent l="0" t="0" r="0" b="0"/>
            <wp:wrapSquare wrapText="bothSides"/>
            <wp:docPr id="12" name="Image 12" descr="C:\Users\HP\AppData\Local\Microsoft\Windows\INetCache\Content.Word\IMG-20260204-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IMG-20260204-WA01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2BC" w:rsidRPr="00594288">
        <w:rPr>
          <w:rFonts w:ascii="Century Gothic" w:eastAsia="Times New Roman" w:hAnsi="Century Gothic" w:cs="Times New Roman"/>
          <w:b/>
          <w:bCs/>
          <w:color w:val="C00000"/>
          <w:sz w:val="16"/>
          <w:szCs w:val="18"/>
          <w:lang w:eastAsia="fr-FR"/>
        </w:rPr>
        <w:t xml:space="preserve">Fig2 : </w:t>
      </w:r>
      <w:r w:rsidR="00FC32BC" w:rsidRPr="00594288">
        <w:rPr>
          <w:rFonts w:ascii="Century Gothic" w:eastAsia="Times New Roman" w:hAnsi="Century Gothic" w:cs="Times New Roman"/>
          <w:b/>
          <w:bCs/>
          <w:sz w:val="16"/>
          <w:szCs w:val="18"/>
          <w:lang w:eastAsia="fr-FR"/>
        </w:rPr>
        <w:t>L’actuel Site de Gateri pour S</w:t>
      </w:r>
      <w:r w:rsidR="00FC32BC">
        <w:rPr>
          <w:rFonts w:ascii="Century Gothic" w:eastAsia="Times New Roman" w:hAnsi="Century Gothic" w:cs="Times New Roman"/>
          <w:b/>
          <w:bCs/>
          <w:sz w:val="16"/>
          <w:szCs w:val="18"/>
          <w:lang w:eastAsia="fr-FR"/>
        </w:rPr>
        <w:t xml:space="preserve">inistré de Gatumba bien </w:t>
      </w:r>
      <w:r w:rsidR="00FC32BC" w:rsidRPr="00594288">
        <w:rPr>
          <w:rFonts w:ascii="Century Gothic" w:eastAsia="Times New Roman" w:hAnsi="Century Gothic" w:cs="Times New Roman"/>
          <w:b/>
          <w:bCs/>
          <w:sz w:val="16"/>
          <w:szCs w:val="18"/>
          <w:lang w:eastAsia="fr-FR"/>
        </w:rPr>
        <w:t>aménagé, construit, responsabilisé et accompagné</w:t>
      </w:r>
      <w:r w:rsidR="00FC32BC">
        <w:rPr>
          <w:rFonts w:ascii="Century Gothic" w:eastAsia="Times New Roman" w:hAnsi="Century Gothic" w:cs="Times New Roman"/>
          <w:b/>
          <w:bCs/>
          <w:sz w:val="16"/>
          <w:szCs w:val="18"/>
          <w:lang w:eastAsia="fr-FR"/>
        </w:rPr>
        <w:t xml:space="preserve">, période : fin </w:t>
      </w:r>
      <w:r w:rsidR="00FC32BC" w:rsidRPr="00594288">
        <w:rPr>
          <w:rFonts w:ascii="Century Gothic" w:eastAsia="Times New Roman" w:hAnsi="Century Gothic" w:cs="Times New Roman"/>
          <w:b/>
          <w:bCs/>
          <w:sz w:val="16"/>
          <w:szCs w:val="18"/>
          <w:lang w:eastAsia="fr-FR"/>
        </w:rPr>
        <w:t>l’an 2025-202</w:t>
      </w:r>
      <w:r w:rsidR="00FC32BC">
        <w:rPr>
          <w:rFonts w:ascii="Century Gothic" w:eastAsia="Times New Roman" w:hAnsi="Century Gothic" w:cs="Times New Roman"/>
          <w:b/>
          <w:bCs/>
          <w:sz w:val="16"/>
          <w:szCs w:val="18"/>
          <w:lang w:eastAsia="fr-FR"/>
        </w:rPr>
        <w:t>6.</w:t>
      </w:r>
      <w:bookmarkEnd w:id="6"/>
    </w:p>
    <w:p w:rsidR="00B37DCE" w:rsidRPr="00B37DCE" w:rsidRDefault="001A143F" w:rsidP="001A143F">
      <w:pPr>
        <w:spacing w:after="0" w:line="240" w:lineRule="auto"/>
        <w:outlineLvl w:val="2"/>
        <w:rPr>
          <w:rFonts w:ascii="Century Gothic" w:eastAsia="Times New Roman" w:hAnsi="Century Gothic" w:cs="Times New Roman"/>
          <w:b/>
          <w:bCs/>
          <w:color w:val="FF0000"/>
          <w:sz w:val="16"/>
          <w:szCs w:val="18"/>
          <w:lang w:eastAsia="fr-FR"/>
        </w:rPr>
        <w:sectPr w:rsidR="00B37DCE" w:rsidRPr="00B37DCE" w:rsidSect="008A3B3B">
          <w:pgSz w:w="16838" w:h="11906" w:orient="landscape"/>
          <w:pgMar w:top="1418" w:right="1418" w:bottom="1418" w:left="1418" w:header="709" w:footer="709" w:gutter="0"/>
          <w:pgNumType w:start="0"/>
          <w:cols w:space="708"/>
          <w:titlePg/>
          <w:docGrid w:linePitch="360"/>
        </w:sectPr>
      </w:pPr>
      <w:r w:rsidRPr="00594288">
        <w:rPr>
          <w:b/>
          <w:noProof/>
          <w:color w:val="C00000"/>
          <w:sz w:val="16"/>
          <w:szCs w:val="18"/>
          <w:lang w:eastAsia="fr-FR"/>
        </w:rPr>
        <w:drawing>
          <wp:anchor distT="0" distB="0" distL="114300" distR="114300" simplePos="0" relativeHeight="251671552" behindDoc="1" locked="0" layoutInCell="1" allowOverlap="1" wp14:anchorId="64BD3E12" wp14:editId="4B031826">
            <wp:simplePos x="0" y="0"/>
            <wp:positionH relativeFrom="column">
              <wp:posOffset>4833620</wp:posOffset>
            </wp:positionH>
            <wp:positionV relativeFrom="paragraph">
              <wp:posOffset>18415</wp:posOffset>
            </wp:positionV>
            <wp:extent cx="3457575" cy="2124075"/>
            <wp:effectExtent l="0" t="0" r="9525" b="9525"/>
            <wp:wrapNone/>
            <wp:docPr id="11" name="Image 11" descr="C:\Users\HP\AppData\Local\Microsoft\Windows\INetCache\Content.Word\IMG-20260204-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INetCache\Content.Word\IMG-20260204-WA0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2124075"/>
                    </a:xfrm>
                    <a:prstGeom prst="rect">
                      <a:avLst/>
                    </a:prstGeom>
                    <a:noFill/>
                    <a:ln>
                      <a:noFill/>
                    </a:ln>
                  </pic:spPr>
                </pic:pic>
              </a:graphicData>
            </a:graphic>
          </wp:anchor>
        </w:drawing>
      </w:r>
      <w:r w:rsidR="00B37DCE">
        <w:rPr>
          <w:rFonts w:ascii="Century Gothic" w:eastAsia="Times New Roman" w:hAnsi="Century Gothic" w:cs="Times New Roman"/>
          <w:b/>
          <w:bCs/>
          <w:color w:val="FF0000"/>
          <w:sz w:val="16"/>
          <w:szCs w:val="18"/>
          <w:lang w:eastAsia="fr-FR"/>
        </w:rPr>
        <w:t xml:space="preserve">Fig3 : </w:t>
      </w:r>
      <w:r w:rsidRPr="001A143F">
        <w:rPr>
          <w:rFonts w:ascii="Century Gothic" w:eastAsia="Times New Roman" w:hAnsi="Century Gothic" w:cs="Times New Roman"/>
          <w:b/>
          <w:bCs/>
          <w:color w:val="0070C0"/>
          <w:sz w:val="16"/>
          <w:szCs w:val="18"/>
          <w:lang w:eastAsia="fr-FR"/>
        </w:rPr>
        <w:t>Route partageant l’ancien Site des Rapatriés de Gateri aux Sinistrés provenant de Gatumba</w:t>
      </w:r>
    </w:p>
    <w:p w:rsidR="00FC32BC" w:rsidRPr="001E5C9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bookmarkStart w:id="7" w:name="_Toc221172996"/>
      <w:r>
        <w:rPr>
          <w:rFonts w:ascii="Times New Roman" w:eastAsia="Times New Roman" w:hAnsi="Times New Roman" w:cs="Times New Roman"/>
          <w:b/>
          <w:bCs/>
          <w:sz w:val="27"/>
          <w:szCs w:val="27"/>
          <w:lang w:eastAsia="fr-FR"/>
        </w:rPr>
        <w:t>III. Préambule e</w:t>
      </w:r>
      <w:r w:rsidRPr="001E5C9C">
        <w:rPr>
          <w:rFonts w:ascii="Times New Roman" w:eastAsia="Times New Roman" w:hAnsi="Times New Roman" w:cs="Times New Roman"/>
          <w:b/>
          <w:bCs/>
          <w:sz w:val="27"/>
          <w:szCs w:val="27"/>
          <w:lang w:eastAsia="fr-FR"/>
        </w:rPr>
        <w:t>t Contexte Opérationnel</w:t>
      </w:r>
      <w:bookmarkEnd w:id="7"/>
    </w:p>
    <w:p w:rsidR="00FC32BC" w:rsidRPr="001E5C9C" w:rsidRDefault="00FC32BC" w:rsidP="00FC32B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sz w:val="24"/>
          <w:szCs w:val="24"/>
          <w:lang w:eastAsia="fr-FR"/>
        </w:rPr>
        <w:t>Le présent rapport annuel 2025 retrace les interventions de l’ALUCOVIS-APDD dans un environnement marqué par des défis systémiques majeurs. L’année a été caractérisée par :</w:t>
      </w:r>
    </w:p>
    <w:p w:rsidR="00FC32BC" w:rsidRPr="001E5C9C" w:rsidRDefault="00FC32BC" w:rsidP="00FC32B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L'Urgence Humanitaire :</w:t>
      </w:r>
      <w:r w:rsidRPr="001E5C9C">
        <w:rPr>
          <w:rFonts w:ascii="Times New Roman" w:eastAsia="Times New Roman" w:hAnsi="Times New Roman" w:cs="Times New Roman"/>
          <w:sz w:val="24"/>
          <w:szCs w:val="24"/>
          <w:lang w:eastAsia="fr-FR"/>
        </w:rPr>
        <w:t xml:space="preserve"> L'afflux continu de réfugiés congolais fuyant les conflits à l'Est de la RD Congo vers le Burundi. En tant que pays hospitalier, le Burundi, et particulièrement nos zones d'intervention, a dû faire face à une pression accrue sur les ressources de base.</w:t>
      </w:r>
    </w:p>
    <w:p w:rsidR="00FC32BC" w:rsidRPr="001E5C9C" w:rsidRDefault="00FC32BC" w:rsidP="00FC32B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La Crise Énergétique et Économique :</w:t>
      </w:r>
      <w:r w:rsidRPr="001E5C9C">
        <w:rPr>
          <w:rFonts w:ascii="Times New Roman" w:eastAsia="Times New Roman" w:hAnsi="Times New Roman" w:cs="Times New Roman"/>
          <w:sz w:val="24"/>
          <w:szCs w:val="24"/>
          <w:lang w:eastAsia="fr-FR"/>
        </w:rPr>
        <w:t xml:space="preserve"> Une pénurie persistante de carburant a engendré une instabilité galopante des prix des denrées alimentaires. Cette situation a précarisé de nombreux foyers, transformant des emplois à temps plein en temps partiels, rendant le paiement des loyers et l'accès aux services judiciaires ou sociaux extrêmement difficiles.</w:t>
      </w:r>
    </w:p>
    <w:p w:rsidR="00FC32BC" w:rsidRPr="001E5C9C" w:rsidRDefault="00FC32BC" w:rsidP="00FC32B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Défis d'Infrastructures :</w:t>
      </w:r>
      <w:r w:rsidRPr="001E5C9C">
        <w:rPr>
          <w:rFonts w:ascii="Times New Roman" w:eastAsia="Times New Roman" w:hAnsi="Times New Roman" w:cs="Times New Roman"/>
          <w:sz w:val="24"/>
          <w:szCs w:val="24"/>
          <w:lang w:eastAsia="fr-FR"/>
        </w:rPr>
        <w:t xml:space="preserve"> Les difficultés d'accès aux compteurs électriques de la REGIDESO ont freiné le développement en milieu rural et urbain, touchant particulièrement la province de Bujumbura.</w:t>
      </w:r>
    </w:p>
    <w:p w:rsidR="00FC32BC" w:rsidRDefault="00FC32BC" w:rsidP="00FC32B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Crise des Intrants Agricoles :</w:t>
      </w:r>
      <w:r w:rsidRPr="001E5C9C">
        <w:rPr>
          <w:rFonts w:ascii="Times New Roman" w:eastAsia="Times New Roman" w:hAnsi="Times New Roman" w:cs="Times New Roman"/>
          <w:sz w:val="24"/>
          <w:szCs w:val="24"/>
          <w:lang w:eastAsia="fr-FR"/>
        </w:rPr>
        <w:t xml:space="preserve"> Une rupture de stock d'engrais chimiques (FOMI) malgré les précomptes payés pour les saisons A et B 2025. Cette situation menace directement les chaînes de valeur agricoles, accentue l'insécurité alimentaire et provoque des tensions au sein des couples dues au surendettement auprès des banques locales et des structures villageoises (AVEC</w:t>
      </w:r>
      <w:r>
        <w:rPr>
          <w:rFonts w:ascii="Times New Roman" w:eastAsia="Times New Roman" w:hAnsi="Times New Roman" w:cs="Times New Roman"/>
          <w:sz w:val="24"/>
          <w:szCs w:val="24"/>
          <w:lang w:eastAsia="fr-FR"/>
        </w:rPr>
        <w:t>s</w:t>
      </w:r>
      <w:r w:rsidRPr="001E5C9C">
        <w:rPr>
          <w:rFonts w:ascii="Times New Roman" w:eastAsia="Times New Roman" w:hAnsi="Times New Roman" w:cs="Times New Roman"/>
          <w:sz w:val="24"/>
          <w:szCs w:val="24"/>
          <w:lang w:eastAsia="fr-FR"/>
        </w:rPr>
        <w:t>).</w:t>
      </w:r>
    </w:p>
    <w:p w:rsidR="00FC32BC" w:rsidRDefault="00FC32BC" w:rsidP="00FC32B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Contexte d’urgence dû au changement climatique et la relocalisation des victimes des inondations (déplacés internes) de Gatumba:</w:t>
      </w:r>
      <w:r>
        <w:rPr>
          <w:rFonts w:ascii="Times New Roman" w:eastAsia="Times New Roman" w:hAnsi="Times New Roman" w:cs="Times New Roman"/>
          <w:bCs/>
          <w:sz w:val="24"/>
          <w:szCs w:val="24"/>
          <w:lang w:eastAsia="fr-FR"/>
        </w:rPr>
        <w:t xml:space="preserve"> Site de GATERI (dotation d’un nouveau terrain foncier, constat de flambée des denrées alimentaires associée à l’insécurité alimentaire étant une réalité du terrain, difficulté de trouver des terrains agricoles à louer et à prix exorbitant par rapport à l’avant Site)</w:t>
      </w:r>
    </w:p>
    <w:p w:rsidR="00FC32BC" w:rsidRPr="00FC32BC" w:rsidRDefault="00FC32BC" w:rsidP="00FC32BC">
      <w:pPr>
        <w:spacing w:before="100" w:beforeAutospacing="1" w:after="100" w:afterAutospacing="1" w:line="240" w:lineRule="auto"/>
        <w:jc w:val="both"/>
        <w:rPr>
          <w:rFonts w:ascii="Times New Roman" w:eastAsia="Times New Roman" w:hAnsi="Times New Roman" w:cs="Times New Roman"/>
          <w:bCs/>
          <w:i/>
          <w:color w:val="00B0F0"/>
          <w:szCs w:val="24"/>
          <w:lang w:eastAsia="fr-FR"/>
        </w:rPr>
      </w:pPr>
      <w:r w:rsidRPr="00FC32BC">
        <w:rPr>
          <w:rFonts w:ascii="Times New Roman" w:eastAsia="Times New Roman" w:hAnsi="Times New Roman" w:cs="Times New Roman"/>
          <w:bCs/>
          <w:i/>
          <w:color w:val="00B0F0"/>
          <w:szCs w:val="24"/>
          <w:lang w:eastAsia="fr-FR"/>
        </w:rPr>
        <w:t>La problématique de pénurie des carburants dans les transports en commun en ville de Bujumbura</w:t>
      </w:r>
    </w:p>
    <w:p w:rsidR="00FC32BC" w:rsidRDefault="00FC32BC" w:rsidP="00FC32BC">
      <w:p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6F192D">
        <w:rPr>
          <w:rFonts w:ascii="Times New Roman" w:eastAsia="Times New Roman" w:hAnsi="Times New Roman" w:cs="Times New Roman"/>
          <w:b/>
          <w:bCs/>
          <w:noProof/>
          <w:sz w:val="24"/>
          <w:szCs w:val="24"/>
          <w:lang w:eastAsia="fr-FR"/>
        </w:rPr>
        <w:drawing>
          <wp:inline distT="0" distB="0" distL="0" distR="0" wp14:anchorId="5572263A" wp14:editId="17316042">
            <wp:extent cx="5760085" cy="2476500"/>
            <wp:effectExtent l="0" t="0" r="0" b="0"/>
            <wp:docPr id="2" name="Image 2" descr="C:\Users\HP\AppData\Local\Microsoft\Windows\INetCache\IE\62ZDLWV0\IMG_20250826_133120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62ZDLWV0\IMG_20250826_133120_42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65" cy="2477050"/>
                    </a:xfrm>
                    <a:prstGeom prst="rect">
                      <a:avLst/>
                    </a:prstGeom>
                    <a:noFill/>
                    <a:ln>
                      <a:noFill/>
                    </a:ln>
                  </pic:spPr>
                </pic:pic>
              </a:graphicData>
            </a:graphic>
          </wp:inline>
        </w:drawing>
      </w:r>
    </w:p>
    <w:p w:rsidR="00FC32BC" w:rsidRDefault="00FC32BC" w:rsidP="00FC32BC">
      <w:pPr>
        <w:spacing w:before="100" w:beforeAutospacing="1" w:after="100" w:afterAutospacing="1" w:line="240" w:lineRule="auto"/>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
          <w:bCs/>
          <w:sz w:val="24"/>
          <w:szCs w:val="24"/>
          <w:lang w:eastAsia="fr-FR"/>
        </w:rPr>
        <w:t xml:space="preserve"> </w:t>
      </w:r>
      <w:r w:rsidRPr="00FB7BAB">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 xml:space="preserve"> </w:t>
      </w:r>
    </w:p>
    <w:p w:rsidR="00FC32BC" w:rsidRDefault="00FC32BC" w:rsidP="00FC32BC">
      <w:pPr>
        <w:spacing w:before="100" w:beforeAutospacing="1" w:after="100" w:afterAutospacing="1" w:line="240" w:lineRule="auto"/>
        <w:jc w:val="both"/>
        <w:rPr>
          <w:rFonts w:ascii="Times New Roman" w:eastAsia="Times New Roman" w:hAnsi="Times New Roman" w:cs="Times New Roman"/>
          <w:bCs/>
          <w:sz w:val="24"/>
          <w:szCs w:val="24"/>
          <w:lang w:eastAsia="fr-FR"/>
        </w:rPr>
      </w:pPr>
    </w:p>
    <w:p w:rsidR="00FC32BC" w:rsidRPr="00FB7BAB" w:rsidRDefault="00FC32BC" w:rsidP="00FC32BC">
      <w:pPr>
        <w:spacing w:before="100" w:beforeAutospacing="1" w:after="100" w:afterAutospacing="1" w:line="240" w:lineRule="auto"/>
        <w:jc w:val="both"/>
        <w:rPr>
          <w:rFonts w:ascii="Times New Roman" w:eastAsia="Times New Roman" w:hAnsi="Times New Roman" w:cs="Times New Roman"/>
          <w:bCs/>
          <w:sz w:val="24"/>
          <w:szCs w:val="24"/>
          <w:lang w:eastAsia="fr-FR"/>
        </w:rPr>
        <w:sectPr w:rsidR="00FC32BC" w:rsidRPr="00FB7BAB" w:rsidSect="004840FF">
          <w:pgSz w:w="11906" w:h="16838"/>
          <w:pgMar w:top="1417" w:right="1417" w:bottom="1417" w:left="1417" w:header="708" w:footer="708" w:gutter="0"/>
          <w:pgNumType w:start="0"/>
          <w:cols w:space="708"/>
          <w:titlePg/>
          <w:docGrid w:linePitch="360"/>
        </w:sectPr>
      </w:pPr>
    </w:p>
    <w:p w:rsidR="00FC32BC" w:rsidRPr="00C55EC2" w:rsidRDefault="00FC32BC" w:rsidP="00FC32BC">
      <w:pPr>
        <w:spacing w:after="0" w:line="240" w:lineRule="auto"/>
        <w:jc w:val="both"/>
        <w:rPr>
          <w:rFonts w:ascii="Times New Roman" w:eastAsia="Times New Roman" w:hAnsi="Times New Roman" w:cs="Times New Roman"/>
          <w:bCs/>
          <w:i/>
          <w:color w:val="0070C0"/>
          <w:sz w:val="24"/>
          <w:szCs w:val="24"/>
          <w:lang w:eastAsia="fr-FR"/>
        </w:rPr>
      </w:pPr>
      <w:r w:rsidRPr="00C55EC2">
        <w:rPr>
          <w:rFonts w:ascii="Times New Roman" w:eastAsia="Times New Roman" w:hAnsi="Times New Roman" w:cs="Times New Roman"/>
          <w:bCs/>
          <w:i/>
          <w:noProof/>
          <w:color w:val="0070C0"/>
          <w:sz w:val="24"/>
          <w:szCs w:val="24"/>
          <w:lang w:eastAsia="fr-FR"/>
        </w:rPr>
        <w:drawing>
          <wp:inline distT="0" distB="0" distL="0" distR="0" wp14:anchorId="5C46731B" wp14:editId="15BAB651">
            <wp:extent cx="4400550" cy="1990090"/>
            <wp:effectExtent l="0" t="0" r="0" b="0"/>
            <wp:docPr id="3" name="Image 3" descr="C:\Users\HP\AppData\Local\Microsoft\Windows\INetCache\IE\7AB99QDA\IMG_20250910_105701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IE\7AB99QDA\IMG_20250910_105701_39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6007" cy="1997080"/>
                    </a:xfrm>
                    <a:prstGeom prst="rect">
                      <a:avLst/>
                    </a:prstGeom>
                    <a:noFill/>
                    <a:ln>
                      <a:noFill/>
                    </a:ln>
                  </pic:spPr>
                </pic:pic>
              </a:graphicData>
            </a:graphic>
          </wp:inline>
        </w:drawing>
      </w:r>
      <w:r w:rsidRPr="00C55EC2">
        <w:rPr>
          <w:rFonts w:ascii="Times New Roman" w:eastAsia="Times New Roman" w:hAnsi="Times New Roman" w:cs="Times New Roman"/>
          <w:bCs/>
          <w:i/>
          <w:color w:val="0070C0"/>
          <w:sz w:val="24"/>
          <w:szCs w:val="24"/>
          <w:lang w:eastAsia="fr-FR"/>
        </w:rPr>
        <w:t xml:space="preserve">   </w:t>
      </w:r>
      <w:r w:rsidRPr="00C55EC2">
        <w:rPr>
          <w:rFonts w:ascii="Times New Roman" w:eastAsia="Times New Roman" w:hAnsi="Times New Roman" w:cs="Times New Roman"/>
          <w:bCs/>
          <w:i/>
          <w:noProof/>
          <w:color w:val="0070C0"/>
          <w:sz w:val="24"/>
          <w:szCs w:val="24"/>
          <w:lang w:eastAsia="fr-FR"/>
        </w:rPr>
        <w:drawing>
          <wp:inline distT="0" distB="0" distL="0" distR="0" wp14:anchorId="36F0FD4B" wp14:editId="5632051B">
            <wp:extent cx="4324350" cy="1971675"/>
            <wp:effectExtent l="0" t="0" r="0" b="9525"/>
            <wp:docPr id="5" name="Image 5" descr="C:\Users\HP\AppData\Local\Microsoft\Windows\INetCache\IE\1DQ7O2IV\IMG_20251017_080554_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IE\1DQ7O2IV\IMG_20251017_080554_83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4782" cy="1971872"/>
                    </a:xfrm>
                    <a:prstGeom prst="rect">
                      <a:avLst/>
                    </a:prstGeom>
                    <a:noFill/>
                    <a:ln>
                      <a:noFill/>
                    </a:ln>
                  </pic:spPr>
                </pic:pic>
              </a:graphicData>
            </a:graphic>
          </wp:inline>
        </w:drawing>
      </w:r>
    </w:p>
    <w:p w:rsidR="00FC32BC" w:rsidRDefault="00FC32BC" w:rsidP="00FC32BC">
      <w:pPr>
        <w:spacing w:after="0" w:line="240" w:lineRule="auto"/>
        <w:jc w:val="both"/>
        <w:rPr>
          <w:rFonts w:ascii="Times New Roman" w:eastAsia="Times New Roman" w:hAnsi="Times New Roman" w:cs="Times New Roman"/>
          <w:bCs/>
          <w:i/>
          <w:color w:val="0070C0"/>
          <w:sz w:val="20"/>
          <w:szCs w:val="20"/>
          <w:lang w:eastAsia="fr-FR"/>
        </w:rPr>
      </w:pPr>
      <w:r w:rsidRPr="005D32A9">
        <w:rPr>
          <w:rFonts w:ascii="Times New Roman" w:eastAsia="Times New Roman" w:hAnsi="Times New Roman" w:cs="Times New Roman"/>
          <w:b/>
          <w:bCs/>
          <w:noProof/>
          <w:sz w:val="20"/>
          <w:szCs w:val="20"/>
          <w:lang w:eastAsia="fr-FR"/>
        </w:rPr>
        <w:drawing>
          <wp:anchor distT="0" distB="0" distL="114300" distR="114300" simplePos="0" relativeHeight="251665408" behindDoc="0" locked="0" layoutInCell="1" allowOverlap="1" wp14:anchorId="57FAB500" wp14:editId="47FE92D2">
            <wp:simplePos x="0" y="0"/>
            <wp:positionH relativeFrom="column">
              <wp:posOffset>4445</wp:posOffset>
            </wp:positionH>
            <wp:positionV relativeFrom="paragraph">
              <wp:posOffset>341630</wp:posOffset>
            </wp:positionV>
            <wp:extent cx="8886825" cy="2771775"/>
            <wp:effectExtent l="0" t="0" r="9525" b="9525"/>
            <wp:wrapSquare wrapText="bothSides"/>
            <wp:docPr id="4" name="Image 4" descr="C:\Users\HP\AppData\Local\Microsoft\Windows\INetCache\IE\RBV4UW6E\IMG_20250917_101032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IE\RBV4UW6E\IMG_20250917_101032_07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8682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2A9">
        <w:rPr>
          <w:rFonts w:ascii="Times New Roman" w:eastAsia="Times New Roman" w:hAnsi="Times New Roman" w:cs="Times New Roman"/>
          <w:bCs/>
          <w:i/>
          <w:color w:val="0070C0"/>
          <w:sz w:val="20"/>
          <w:szCs w:val="20"/>
          <w:lang w:eastAsia="fr-FR"/>
        </w:rPr>
        <w:t>Dans la zone transfrontalière</w:t>
      </w:r>
      <w:r>
        <w:rPr>
          <w:rFonts w:ascii="Times New Roman" w:eastAsia="Times New Roman" w:hAnsi="Times New Roman" w:cs="Times New Roman"/>
          <w:bCs/>
          <w:i/>
          <w:color w:val="0070C0"/>
          <w:sz w:val="20"/>
          <w:szCs w:val="20"/>
          <w:lang w:eastAsia="fr-FR"/>
        </w:rPr>
        <w:t xml:space="preserve"> restent menacées par </w:t>
      </w:r>
      <w:r w:rsidRPr="005D32A9">
        <w:rPr>
          <w:rFonts w:ascii="Times New Roman" w:eastAsia="Times New Roman" w:hAnsi="Times New Roman" w:cs="Times New Roman"/>
          <w:bCs/>
          <w:i/>
          <w:color w:val="0070C0"/>
          <w:sz w:val="20"/>
          <w:szCs w:val="20"/>
          <w:lang w:eastAsia="fr-FR"/>
        </w:rPr>
        <w:t>de feu de brousse enva</w:t>
      </w:r>
      <w:r>
        <w:rPr>
          <w:rFonts w:ascii="Times New Roman" w:eastAsia="Times New Roman" w:hAnsi="Times New Roman" w:cs="Times New Roman"/>
          <w:bCs/>
          <w:i/>
          <w:color w:val="0070C0"/>
          <w:sz w:val="20"/>
          <w:szCs w:val="20"/>
          <w:lang w:eastAsia="fr-FR"/>
        </w:rPr>
        <w:t xml:space="preserve">hissant               </w:t>
      </w:r>
      <w:r w:rsidRPr="005D32A9">
        <w:rPr>
          <w:rFonts w:ascii="Times New Roman" w:eastAsia="Times New Roman" w:hAnsi="Times New Roman" w:cs="Times New Roman"/>
          <w:bCs/>
          <w:i/>
          <w:color w:val="00B050"/>
          <w:sz w:val="20"/>
          <w:szCs w:val="20"/>
          <w:lang w:eastAsia="fr-FR"/>
        </w:rPr>
        <w:t>La pratique anarchique d’extraction locale d’or et carrières à Nyamagana</w:t>
      </w:r>
      <w:r>
        <w:rPr>
          <w:rFonts w:ascii="Times New Roman" w:eastAsia="Times New Roman" w:hAnsi="Times New Roman" w:cs="Times New Roman"/>
          <w:bCs/>
          <w:i/>
          <w:color w:val="00B050"/>
          <w:sz w:val="20"/>
          <w:szCs w:val="20"/>
          <w:lang w:eastAsia="fr-FR"/>
        </w:rPr>
        <w:t>-Cibitoke</w:t>
      </w:r>
    </w:p>
    <w:p w:rsidR="00FC32BC" w:rsidRDefault="00FC32BC" w:rsidP="00FC32BC">
      <w:pPr>
        <w:spacing w:after="0" w:line="240" w:lineRule="auto"/>
        <w:jc w:val="both"/>
        <w:rPr>
          <w:rFonts w:ascii="Times New Roman" w:eastAsia="Times New Roman" w:hAnsi="Times New Roman" w:cs="Times New Roman"/>
          <w:bCs/>
          <w:i/>
          <w:color w:val="00B050"/>
          <w:sz w:val="20"/>
          <w:szCs w:val="20"/>
          <w:lang w:eastAsia="fr-FR"/>
        </w:rPr>
      </w:pPr>
      <w:r>
        <w:rPr>
          <w:rFonts w:ascii="Times New Roman" w:eastAsia="Times New Roman" w:hAnsi="Times New Roman" w:cs="Times New Roman"/>
          <w:bCs/>
          <w:i/>
          <w:color w:val="0070C0"/>
          <w:sz w:val="20"/>
          <w:szCs w:val="20"/>
          <w:lang w:eastAsia="fr-FR"/>
        </w:rPr>
        <w:t>des champs agricoles e</w:t>
      </w:r>
      <w:r w:rsidRPr="005D32A9">
        <w:rPr>
          <w:rFonts w:ascii="Times New Roman" w:eastAsia="Times New Roman" w:hAnsi="Times New Roman" w:cs="Times New Roman"/>
          <w:bCs/>
          <w:i/>
          <w:color w:val="0070C0"/>
          <w:sz w:val="20"/>
          <w:szCs w:val="20"/>
          <w:lang w:eastAsia="fr-FR"/>
        </w:rPr>
        <w:t xml:space="preserve">t </w:t>
      </w:r>
      <w:r>
        <w:rPr>
          <w:rFonts w:ascii="Times New Roman" w:eastAsia="Times New Roman" w:hAnsi="Times New Roman" w:cs="Times New Roman"/>
          <w:bCs/>
          <w:i/>
          <w:color w:val="0070C0"/>
          <w:sz w:val="20"/>
          <w:szCs w:val="20"/>
          <w:lang w:eastAsia="fr-FR"/>
        </w:rPr>
        <w:t xml:space="preserve">aux </w:t>
      </w:r>
      <w:r w:rsidRPr="005D32A9">
        <w:rPr>
          <w:rFonts w:ascii="Times New Roman" w:eastAsia="Times New Roman" w:hAnsi="Times New Roman" w:cs="Times New Roman"/>
          <w:bCs/>
          <w:i/>
          <w:color w:val="0070C0"/>
          <w:sz w:val="20"/>
          <w:szCs w:val="20"/>
          <w:lang w:eastAsia="fr-FR"/>
        </w:rPr>
        <w:t xml:space="preserve"> écosystèmes</w:t>
      </w:r>
      <w:r w:rsidRPr="000C3F68">
        <w:rPr>
          <w:rFonts w:ascii="Times New Roman" w:eastAsia="Times New Roman" w:hAnsi="Times New Roman" w:cs="Times New Roman"/>
          <w:b/>
          <w:bCs/>
          <w:color w:val="00B0F0"/>
          <w:sz w:val="20"/>
          <w:szCs w:val="20"/>
          <w:lang w:eastAsia="fr-FR"/>
        </w:rPr>
        <w:t>.</w:t>
      </w:r>
    </w:p>
    <w:p w:rsidR="00FC32BC" w:rsidRPr="007A74A0" w:rsidRDefault="00FC32BC" w:rsidP="00FC32BC">
      <w:pPr>
        <w:pStyle w:val="NormalWeb"/>
        <w:jc w:val="both"/>
        <w:rPr>
          <w:sz w:val="22"/>
        </w:rPr>
      </w:pPr>
      <w:r w:rsidRPr="000A7C97">
        <w:rPr>
          <w:b/>
          <w:bCs/>
          <w:color w:val="5B9BD5" w:themeColor="accent1"/>
          <w:sz w:val="22"/>
        </w:rPr>
        <w:t>Analytique et orientée "Plaidoyer" :</w:t>
      </w:r>
      <w:r w:rsidRPr="000A7C97">
        <w:rPr>
          <w:color w:val="5B9BD5" w:themeColor="accent1"/>
          <w:sz w:val="22"/>
        </w:rPr>
        <w:t xml:space="preserve"> </w:t>
      </w:r>
      <w:r w:rsidRPr="000A7C97">
        <w:rPr>
          <w:b/>
          <w:bCs/>
          <w:color w:val="5B9BD5" w:themeColor="accent1"/>
          <w:sz w:val="22"/>
        </w:rPr>
        <w:t>Fig. 4</w:t>
      </w:r>
      <w:r w:rsidRPr="00014BBD">
        <w:rPr>
          <w:b/>
          <w:bCs/>
          <w:color w:val="5B9BD5" w:themeColor="accent1"/>
          <w:sz w:val="22"/>
        </w:rPr>
        <w:t>:</w:t>
      </w:r>
      <w:r w:rsidRPr="007A74A0">
        <w:rPr>
          <w:sz w:val="22"/>
        </w:rPr>
        <w:t xml:space="preserve"> Décharge sauvage saturée présentant des risques sanitaires et sécuritaires majeurs. L'ALUCOVIS-APDD préconise une gestion durable des déchets pour protéger les riverains et sécuriser cette zone, devenue u</w:t>
      </w:r>
      <w:r w:rsidR="00B04113">
        <w:rPr>
          <w:sz w:val="22"/>
        </w:rPr>
        <w:t>n foyer de criminalité nocturne (de Buterere Bujumbura)</w:t>
      </w:r>
    </w:p>
    <w:p w:rsidR="00FC32BC" w:rsidRDefault="00FC32BC" w:rsidP="00FC32BC">
      <w:pPr>
        <w:pStyle w:val="Titre3"/>
        <w:jc w:val="both"/>
      </w:pPr>
      <w:bookmarkStart w:id="8" w:name="_Toc221172997"/>
      <w:r>
        <w:t>V. Données Statistiques et Impact 2025 (Tableaux Synoptiques)</w:t>
      </w:r>
      <w:bookmarkEnd w:id="8"/>
    </w:p>
    <w:p w:rsidR="00FC32BC" w:rsidRDefault="00FC32BC" w:rsidP="00FC32BC">
      <w:pPr>
        <w:pStyle w:val="Titre4"/>
        <w:jc w:val="both"/>
      </w:pPr>
      <w:bookmarkStart w:id="9" w:name="_Toc221172998"/>
      <w:r>
        <w:t>Tableau 1 : Impact de la crise agricole et climatique (Zones de Bujumbura selon le constat fait par ALUCOVIS-APDD)</w:t>
      </w:r>
      <w:bookmarkEnd w:id="9"/>
    </w:p>
    <w:tbl>
      <w:tblPr>
        <w:tblStyle w:val="TableauGrille4-Accentuation5"/>
        <w:tblW w:w="0" w:type="auto"/>
        <w:tblLook w:val="04A0" w:firstRow="1" w:lastRow="0" w:firstColumn="1" w:lastColumn="0" w:noHBand="0" w:noVBand="1"/>
      </w:tblPr>
      <w:tblGrid>
        <w:gridCol w:w="4302"/>
        <w:gridCol w:w="1789"/>
        <w:gridCol w:w="2693"/>
        <w:gridCol w:w="4819"/>
      </w:tblGrid>
      <w:tr w:rsidR="00FC32BC" w:rsidTr="00C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b w:val="0"/>
                <w:bCs w:val="0"/>
              </w:rPr>
              <w:t>Indicateur</w:t>
            </w:r>
          </w:p>
        </w:tc>
        <w:tc>
          <w:tcPr>
            <w:tcW w:w="1789" w:type="dxa"/>
            <w:hideMark/>
          </w:tcPr>
          <w:p w:rsidR="00FC32BC" w:rsidRDefault="00FC32BC" w:rsidP="00FC32BC">
            <w:pPr>
              <w:pStyle w:val="NormalWeb"/>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Saison A 2025</w:t>
            </w:r>
          </w:p>
        </w:tc>
        <w:tc>
          <w:tcPr>
            <w:tcW w:w="2693" w:type="dxa"/>
            <w:hideMark/>
          </w:tcPr>
          <w:p w:rsidR="00FC32BC" w:rsidRDefault="00FC32BC" w:rsidP="00FC32BC">
            <w:pPr>
              <w:pStyle w:val="NormalWeb"/>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Saison B 2025</w:t>
            </w:r>
          </w:p>
        </w:tc>
        <w:tc>
          <w:tcPr>
            <w:tcW w:w="4819" w:type="dxa"/>
            <w:hideMark/>
          </w:tcPr>
          <w:p w:rsidR="00FC32BC" w:rsidRDefault="00FC32BC" w:rsidP="00FC32BC">
            <w:pPr>
              <w:pStyle w:val="NormalWeb"/>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Observations</w:t>
            </w:r>
          </w:p>
        </w:tc>
      </w:tr>
      <w:tr w:rsidR="00FC32BC" w:rsidTr="00C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rPr>
                <w:b w:val="0"/>
                <w:bCs w:val="0"/>
              </w:rPr>
            </w:pPr>
            <w:r>
              <w:rPr>
                <w:rStyle w:val="lev"/>
              </w:rPr>
              <w:t>Taux de couverture en engrais (FOMI)</w:t>
            </w:r>
          </w:p>
        </w:tc>
        <w:tc>
          <w:tcPr>
            <w:tcW w:w="1789"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15%</w:t>
            </w:r>
          </w:p>
        </w:tc>
        <w:tc>
          <w:tcPr>
            <w:tcW w:w="2693"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8%</w:t>
            </w:r>
          </w:p>
        </w:tc>
        <w:tc>
          <w:tcPr>
            <w:tcW w:w="4819"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Rupture de stock majeure</w:t>
            </w:r>
          </w:p>
        </w:tc>
      </w:tr>
      <w:tr w:rsidR="00FC32BC" w:rsidTr="00C7617F">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rStyle w:val="lev"/>
              </w:rPr>
              <w:t>Chute de rendement (Vivriers/Maraîchers)</w:t>
            </w:r>
          </w:p>
        </w:tc>
        <w:tc>
          <w:tcPr>
            <w:tcW w:w="1789"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-45%</w:t>
            </w:r>
          </w:p>
        </w:tc>
        <w:tc>
          <w:tcPr>
            <w:tcW w:w="2693"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-60%</w:t>
            </w:r>
          </w:p>
        </w:tc>
        <w:tc>
          <w:tcPr>
            <w:tcW w:w="4819"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Impact combiné sécheresse/manque d'engrais</w:t>
            </w:r>
          </w:p>
        </w:tc>
      </w:tr>
      <w:tr w:rsidR="00FC32BC" w:rsidTr="00C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rStyle w:val="lev"/>
              </w:rPr>
              <w:t>Ménages en insécurité alimentaire</w:t>
            </w:r>
          </w:p>
        </w:tc>
        <w:tc>
          <w:tcPr>
            <w:tcW w:w="1789"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2 450</w:t>
            </w:r>
          </w:p>
        </w:tc>
        <w:tc>
          <w:tcPr>
            <w:tcW w:w="2693"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3 800</w:t>
            </w:r>
          </w:p>
        </w:tc>
        <w:tc>
          <w:tcPr>
            <w:tcW w:w="4819"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Principalement à Gatumba, Mutimbuzi</w:t>
            </w:r>
          </w:p>
        </w:tc>
      </w:tr>
      <w:tr w:rsidR="00FC32BC" w:rsidTr="00C7617F">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rStyle w:val="lev"/>
              </w:rPr>
              <w:t>Bétail perdu (Inondations/Maladies)</w:t>
            </w:r>
          </w:p>
        </w:tc>
        <w:tc>
          <w:tcPr>
            <w:tcW w:w="1789"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120 têtes</w:t>
            </w:r>
          </w:p>
        </w:tc>
        <w:tc>
          <w:tcPr>
            <w:tcW w:w="2693"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310 têtes</w:t>
            </w:r>
          </w:p>
        </w:tc>
        <w:tc>
          <w:tcPr>
            <w:tcW w:w="4819"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Zones de stabulation dévastées</w:t>
            </w:r>
          </w:p>
        </w:tc>
      </w:tr>
    </w:tbl>
    <w:p w:rsidR="00FC32BC" w:rsidRDefault="00FC32BC" w:rsidP="00FC32BC">
      <w:pPr>
        <w:pStyle w:val="Titre4"/>
        <w:jc w:val="both"/>
      </w:pPr>
      <w:bookmarkStart w:id="10" w:name="_Toc221172999"/>
      <w:r>
        <w:t>Tableau 2 : Protection, VSBG et Droits Humains</w:t>
      </w:r>
      <w:bookmarkEnd w:id="10"/>
    </w:p>
    <w:tbl>
      <w:tblPr>
        <w:tblStyle w:val="TableauGrille4-Accentuation6"/>
        <w:tblW w:w="0" w:type="auto"/>
        <w:tblLook w:val="04A0" w:firstRow="1" w:lastRow="0" w:firstColumn="1" w:lastColumn="0" w:noHBand="0" w:noVBand="1"/>
      </w:tblPr>
      <w:tblGrid>
        <w:gridCol w:w="4282"/>
        <w:gridCol w:w="1836"/>
        <w:gridCol w:w="3658"/>
        <w:gridCol w:w="3880"/>
      </w:tblGrid>
      <w:tr w:rsidR="00FC32BC" w:rsidTr="00C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b w:val="0"/>
                <w:bCs w:val="0"/>
              </w:rPr>
              <w:t>Catégorie de cas</w:t>
            </w:r>
          </w:p>
        </w:tc>
        <w:tc>
          <w:tcPr>
            <w:tcW w:w="0" w:type="auto"/>
            <w:hideMark/>
          </w:tcPr>
          <w:p w:rsidR="00FC32BC" w:rsidRDefault="00FC32BC" w:rsidP="00FC32BC">
            <w:pPr>
              <w:pStyle w:val="NormalWeb"/>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Nombre signalés</w:t>
            </w:r>
          </w:p>
        </w:tc>
        <w:tc>
          <w:tcPr>
            <w:tcW w:w="3658" w:type="dxa"/>
            <w:hideMark/>
          </w:tcPr>
          <w:p w:rsidR="00FC32BC" w:rsidRDefault="00FC32BC" w:rsidP="00FC32BC">
            <w:pPr>
              <w:pStyle w:val="NormalWeb"/>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Prise en charge (médicale/juridique)</w:t>
            </w:r>
          </w:p>
        </w:tc>
        <w:tc>
          <w:tcPr>
            <w:tcW w:w="3880" w:type="dxa"/>
            <w:hideMark/>
          </w:tcPr>
          <w:p w:rsidR="00FC32BC" w:rsidRDefault="00FC32BC" w:rsidP="00FC32BC">
            <w:pPr>
              <w:pStyle w:val="NormalWeb"/>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État du plaidoyer</w:t>
            </w:r>
          </w:p>
        </w:tc>
      </w:tr>
      <w:tr w:rsidR="00FC32BC" w:rsidTr="00C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rPr>
                <w:b w:val="0"/>
                <w:bCs w:val="0"/>
              </w:rPr>
            </w:pPr>
            <w:r>
              <w:rPr>
                <w:rStyle w:val="lev"/>
              </w:rPr>
              <w:t>Violences Sexuelles et basées sur le genre</w:t>
            </w:r>
          </w:p>
        </w:tc>
        <w:tc>
          <w:tcPr>
            <w:tcW w:w="0" w:type="auto"/>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142</w:t>
            </w:r>
          </w:p>
        </w:tc>
        <w:tc>
          <w:tcPr>
            <w:tcW w:w="3658"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85%</w:t>
            </w:r>
          </w:p>
        </w:tc>
        <w:tc>
          <w:tcPr>
            <w:tcW w:w="3880"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Lutte contre l'impunité en cours</w:t>
            </w:r>
          </w:p>
        </w:tc>
      </w:tr>
      <w:tr w:rsidR="00FC32BC" w:rsidTr="00C7617F">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rStyle w:val="lev"/>
              </w:rPr>
              <w:t>Traite des personnes (interne/externe)</w:t>
            </w:r>
          </w:p>
        </w:tc>
        <w:tc>
          <w:tcPr>
            <w:tcW w:w="0" w:type="auto"/>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28</w:t>
            </w:r>
          </w:p>
        </w:tc>
        <w:tc>
          <w:tcPr>
            <w:tcW w:w="3658"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40%</w:t>
            </w:r>
          </w:p>
        </w:tc>
        <w:tc>
          <w:tcPr>
            <w:tcW w:w="3880"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Besoin de monitoring transfrontalier</w:t>
            </w:r>
          </w:p>
        </w:tc>
      </w:tr>
      <w:tr w:rsidR="00FC32BC" w:rsidTr="00C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rStyle w:val="lev"/>
              </w:rPr>
              <w:t>Conflits fonciers (Carrières/Agri-Élevage)</w:t>
            </w:r>
          </w:p>
        </w:tc>
        <w:tc>
          <w:tcPr>
            <w:tcW w:w="0" w:type="auto"/>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64</w:t>
            </w:r>
          </w:p>
        </w:tc>
        <w:tc>
          <w:tcPr>
            <w:tcW w:w="3658"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25%</w:t>
            </w:r>
          </w:p>
        </w:tc>
        <w:tc>
          <w:tcPr>
            <w:tcW w:w="3880" w:type="dxa"/>
            <w:hideMark/>
          </w:tcPr>
          <w:p w:rsidR="00FC32BC" w:rsidRDefault="00FC32BC" w:rsidP="00FC32BC">
            <w:pPr>
              <w:pStyle w:val="NormalWeb"/>
              <w:jc w:val="both"/>
              <w:cnfStyle w:val="000000100000" w:firstRow="0" w:lastRow="0" w:firstColumn="0" w:lastColumn="0" w:oddVBand="0" w:evenVBand="0" w:oddHBand="1" w:evenHBand="0" w:firstRowFirstColumn="0" w:firstRowLastColumn="0" w:lastRowFirstColumn="0" w:lastRowLastColumn="0"/>
            </w:pPr>
            <w:r>
              <w:t>Risque de regain de violence</w:t>
            </w:r>
          </w:p>
        </w:tc>
      </w:tr>
      <w:tr w:rsidR="00FC32BC" w:rsidTr="00C7617F">
        <w:tc>
          <w:tcPr>
            <w:cnfStyle w:val="001000000000" w:firstRow="0" w:lastRow="0" w:firstColumn="1" w:lastColumn="0" w:oddVBand="0" w:evenVBand="0" w:oddHBand="0" w:evenHBand="0" w:firstRowFirstColumn="0" w:firstRowLastColumn="0" w:lastRowFirstColumn="0" w:lastRowLastColumn="0"/>
            <w:tcW w:w="0" w:type="auto"/>
            <w:hideMark/>
          </w:tcPr>
          <w:p w:rsidR="00FC32BC" w:rsidRDefault="00FC32BC" w:rsidP="00FC32BC">
            <w:pPr>
              <w:pStyle w:val="NormalWeb"/>
              <w:jc w:val="both"/>
            </w:pPr>
            <w:r>
              <w:rPr>
                <w:rStyle w:val="lev"/>
              </w:rPr>
              <w:t>Enfants déscolarisés (Déplacements)</w:t>
            </w:r>
          </w:p>
        </w:tc>
        <w:tc>
          <w:tcPr>
            <w:tcW w:w="0" w:type="auto"/>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1 150</w:t>
            </w:r>
          </w:p>
        </w:tc>
        <w:tc>
          <w:tcPr>
            <w:tcW w:w="3658"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30%</w:t>
            </w:r>
          </w:p>
        </w:tc>
        <w:tc>
          <w:tcPr>
            <w:tcW w:w="3880" w:type="dxa"/>
            <w:hideMark/>
          </w:tcPr>
          <w:p w:rsidR="00FC32BC" w:rsidRDefault="00FC32BC" w:rsidP="00FC32BC">
            <w:pPr>
              <w:pStyle w:val="NormalWeb"/>
              <w:jc w:val="both"/>
              <w:cnfStyle w:val="000000000000" w:firstRow="0" w:lastRow="0" w:firstColumn="0" w:lastColumn="0" w:oddVBand="0" w:evenVBand="0" w:oddHBand="0" w:evenHBand="0" w:firstRowFirstColumn="0" w:firstRowLastColumn="0" w:lastRowFirstColumn="0" w:lastRowLastColumn="0"/>
            </w:pPr>
            <w:r>
              <w:t>Relocalisation Buganda dans le Site GATERI</w:t>
            </w:r>
          </w:p>
        </w:tc>
      </w:tr>
    </w:tbl>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
    <w:p w:rsidR="00FC32BC" w:rsidRDefault="00FC32BC" w:rsidP="00FC32BC">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sectPr w:rsidR="00FC32BC" w:rsidSect="00991144">
          <w:pgSz w:w="16838" w:h="11906" w:orient="landscape"/>
          <w:pgMar w:top="1418" w:right="1418" w:bottom="1418" w:left="1418" w:header="709" w:footer="709" w:gutter="0"/>
          <w:cols w:space="708"/>
          <w:docGrid w:linePitch="360"/>
        </w:sectPr>
      </w:pPr>
    </w:p>
    <w:p w:rsidR="00FC32BC" w:rsidRPr="001E5C9C" w:rsidRDefault="00FC32BC" w:rsidP="00FC32BC">
      <w:pPr>
        <w:spacing w:after="0" w:line="240" w:lineRule="auto"/>
        <w:jc w:val="both"/>
        <w:outlineLvl w:val="2"/>
        <w:rPr>
          <w:rFonts w:ascii="Times New Roman" w:eastAsia="Times New Roman" w:hAnsi="Times New Roman" w:cs="Times New Roman"/>
          <w:b/>
          <w:bCs/>
          <w:sz w:val="27"/>
          <w:szCs w:val="27"/>
          <w:lang w:eastAsia="fr-FR"/>
        </w:rPr>
      </w:pPr>
      <w:bookmarkStart w:id="11" w:name="_Toc221173000"/>
      <w:r>
        <w:rPr>
          <w:rFonts w:ascii="Times New Roman" w:eastAsia="Times New Roman" w:hAnsi="Times New Roman" w:cs="Times New Roman"/>
          <w:b/>
          <w:bCs/>
          <w:sz w:val="27"/>
          <w:szCs w:val="27"/>
          <w:lang w:eastAsia="fr-FR"/>
        </w:rPr>
        <w:t>V. Axes et Domaines d</w:t>
      </w:r>
      <w:r w:rsidRPr="001E5C9C">
        <w:rPr>
          <w:rFonts w:ascii="Times New Roman" w:eastAsia="Times New Roman" w:hAnsi="Times New Roman" w:cs="Times New Roman"/>
          <w:b/>
          <w:bCs/>
          <w:sz w:val="27"/>
          <w:szCs w:val="27"/>
          <w:lang w:eastAsia="fr-FR"/>
        </w:rPr>
        <w:t>'intervention</w:t>
      </w:r>
      <w:bookmarkEnd w:id="11"/>
    </w:p>
    <w:p w:rsidR="00FC32BC" w:rsidRPr="001E5C9C" w:rsidRDefault="00FC32BC" w:rsidP="00FC32BC">
      <w:pPr>
        <w:spacing w:after="0" w:line="240" w:lineRule="auto"/>
        <w:jc w:val="both"/>
        <w:outlineLvl w:val="3"/>
        <w:rPr>
          <w:rFonts w:ascii="Times New Roman" w:eastAsia="Times New Roman" w:hAnsi="Times New Roman" w:cs="Times New Roman"/>
          <w:b/>
          <w:bCs/>
          <w:sz w:val="24"/>
          <w:szCs w:val="24"/>
          <w:lang w:eastAsia="fr-FR"/>
        </w:rPr>
      </w:pPr>
      <w:bookmarkStart w:id="12" w:name="_Toc221173001"/>
      <w:r>
        <w:rPr>
          <w:rFonts w:ascii="Times New Roman" w:eastAsia="Times New Roman" w:hAnsi="Times New Roman" w:cs="Times New Roman"/>
          <w:b/>
          <w:bCs/>
          <w:sz w:val="24"/>
          <w:szCs w:val="24"/>
          <w:lang w:eastAsia="fr-FR"/>
        </w:rPr>
        <w:t>V.</w:t>
      </w:r>
      <w:r w:rsidRPr="001E5C9C">
        <w:rPr>
          <w:rFonts w:ascii="Times New Roman" w:eastAsia="Times New Roman" w:hAnsi="Times New Roman" w:cs="Times New Roman"/>
          <w:b/>
          <w:bCs/>
          <w:sz w:val="24"/>
          <w:szCs w:val="24"/>
          <w:lang w:eastAsia="fr-FR"/>
        </w:rPr>
        <w:t>1. Renforcement des Capacités Institutionnelles et Plaidoyer</w:t>
      </w:r>
      <w:bookmarkEnd w:id="12"/>
    </w:p>
    <w:p w:rsidR="00FC32BC" w:rsidRPr="00882708" w:rsidRDefault="00FC32BC" w:rsidP="00FC32BC">
      <w:pPr>
        <w:spacing w:after="0" w:line="240" w:lineRule="auto"/>
        <w:jc w:val="both"/>
        <w:rPr>
          <w:rFonts w:ascii="Times New Roman" w:eastAsia="Times New Roman" w:hAnsi="Times New Roman" w:cs="Times New Roman"/>
          <w:sz w:val="24"/>
          <w:szCs w:val="24"/>
          <w:lang w:eastAsia="fr-FR"/>
        </w:rPr>
      </w:pPr>
      <w:r w:rsidRPr="00882708">
        <w:rPr>
          <w:rFonts w:ascii="Times New Roman" w:eastAsia="Times New Roman" w:hAnsi="Times New Roman" w:cs="Times New Roman"/>
          <w:sz w:val="24"/>
          <w:szCs w:val="24"/>
          <w:lang w:eastAsia="fr-FR"/>
        </w:rPr>
        <w:t>L'ALUCOVIS-APDD a transcendé les frontières nationales pour porter la voix des communautés burundaises :</w:t>
      </w:r>
    </w:p>
    <w:p w:rsidR="00FC32BC" w:rsidRPr="00882708" w:rsidRDefault="00FC32BC" w:rsidP="00FC32BC">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UNCCD, G20 Land Initiative, WOCAT &amp; IUCN</w:t>
      </w:r>
      <w:r w:rsidRPr="00882708">
        <w:rPr>
          <w:rFonts w:ascii="Times New Roman" w:eastAsia="Times New Roman" w:hAnsi="Times New Roman" w:cs="Times New Roman"/>
          <w:b/>
          <w:bCs/>
          <w:sz w:val="24"/>
          <w:szCs w:val="24"/>
          <w:lang w:eastAsia="fr-FR"/>
        </w:rPr>
        <w:t>:</w:t>
      </w:r>
      <w:r w:rsidRPr="00882708">
        <w:rPr>
          <w:rFonts w:ascii="Times New Roman" w:eastAsia="Times New Roman" w:hAnsi="Times New Roman" w:cs="Times New Roman"/>
          <w:sz w:val="24"/>
          <w:szCs w:val="24"/>
          <w:lang w:eastAsia="fr-FR"/>
        </w:rPr>
        <w:t xml:space="preserve"> Participation active aux débats sur la restauration des terres. Nous avons plaidé pour que le Burundi bénéficie de mécanismes de financement directs pour la Gestion Durable des Terres (GDT), afin de transformer nos collines en zones de production résilientes.</w:t>
      </w:r>
    </w:p>
    <w:p w:rsidR="00FC32BC" w:rsidRPr="00882708" w:rsidRDefault="00FC32BC" w:rsidP="00FC32BC">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82708">
        <w:rPr>
          <w:rFonts w:ascii="Times New Roman" w:eastAsia="Times New Roman" w:hAnsi="Times New Roman" w:cs="Times New Roman"/>
          <w:b/>
          <w:bCs/>
          <w:sz w:val="24"/>
          <w:szCs w:val="24"/>
          <w:lang w:eastAsia="fr-FR"/>
        </w:rPr>
        <w:t>Forum Mondial de l'Eau :</w:t>
      </w:r>
      <w:r w:rsidRPr="00882708">
        <w:rPr>
          <w:rFonts w:ascii="Times New Roman" w:eastAsia="Times New Roman" w:hAnsi="Times New Roman" w:cs="Times New Roman"/>
          <w:sz w:val="24"/>
          <w:szCs w:val="24"/>
          <w:lang w:eastAsia="fr-FR"/>
        </w:rPr>
        <w:t xml:space="preserve"> Engagement sur la gestion inclusive des ressources hydrique</w:t>
      </w:r>
      <w:r>
        <w:rPr>
          <w:rFonts w:ascii="Times New Roman" w:eastAsia="Times New Roman" w:hAnsi="Times New Roman" w:cs="Times New Roman"/>
          <w:sz w:val="24"/>
          <w:szCs w:val="24"/>
          <w:lang w:eastAsia="fr-FR"/>
        </w:rPr>
        <w:t>s. L'ALUCOVIS-APDD a souligné de faible rétention en</w:t>
      </w:r>
      <w:r w:rsidRPr="00882708">
        <w:rPr>
          <w:rFonts w:ascii="Times New Roman" w:eastAsia="Times New Roman" w:hAnsi="Times New Roman" w:cs="Times New Roman"/>
          <w:sz w:val="24"/>
          <w:szCs w:val="24"/>
          <w:lang w:eastAsia="fr-FR"/>
        </w:rPr>
        <w:t xml:space="preserve"> lien entre le manque </w:t>
      </w:r>
      <w:r>
        <w:rPr>
          <w:rFonts w:ascii="Times New Roman" w:eastAsia="Times New Roman" w:hAnsi="Times New Roman" w:cs="Times New Roman"/>
          <w:sz w:val="24"/>
          <w:szCs w:val="24"/>
          <w:lang w:eastAsia="fr-FR"/>
        </w:rPr>
        <w:t xml:space="preserve">et parfois d’insuffisance </w:t>
      </w:r>
      <w:r w:rsidRPr="00882708">
        <w:rPr>
          <w:rFonts w:ascii="Times New Roman" w:eastAsia="Times New Roman" w:hAnsi="Times New Roman" w:cs="Times New Roman"/>
          <w:sz w:val="24"/>
          <w:szCs w:val="24"/>
          <w:lang w:eastAsia="fr-FR"/>
        </w:rPr>
        <w:t>d'infrastructures d'eau (REGIDESO) et la vulnérabilité des femmes en milieu rural.</w:t>
      </w:r>
      <w:r>
        <w:rPr>
          <w:rFonts w:ascii="Times New Roman" w:eastAsia="Times New Roman" w:hAnsi="Times New Roman" w:cs="Times New Roman"/>
          <w:sz w:val="24"/>
          <w:szCs w:val="24"/>
          <w:lang w:eastAsia="fr-FR"/>
        </w:rPr>
        <w:t xml:space="preserve"> </w:t>
      </w:r>
    </w:p>
    <w:p w:rsidR="00FC32BC" w:rsidRPr="001E5C9C" w:rsidRDefault="00FC32BC" w:rsidP="00FC32B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sz w:val="24"/>
          <w:szCs w:val="24"/>
          <w:lang w:eastAsia="fr-FR"/>
        </w:rPr>
        <w:t>L'ALUCOVIS-APDD a maintenu son engagement statutaire tout en renforçant sa présence sur la scène nationale et internationale :</w:t>
      </w:r>
    </w:p>
    <w:p w:rsidR="00FC32BC" w:rsidRPr="001E5C9C" w:rsidRDefault="00FC32BC" w:rsidP="00FC32BC">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Gouvernance Intergénérationnelle :</w:t>
      </w:r>
      <w:r w:rsidRPr="001E5C9C">
        <w:rPr>
          <w:rFonts w:ascii="Times New Roman" w:eastAsia="Times New Roman" w:hAnsi="Times New Roman" w:cs="Times New Roman"/>
          <w:sz w:val="24"/>
          <w:szCs w:val="24"/>
          <w:lang w:eastAsia="fr-FR"/>
        </w:rPr>
        <w:t xml:space="preserve"> Promotion de l'inclusion genre et dialogue entre générations pour une gesti</w:t>
      </w:r>
      <w:r>
        <w:rPr>
          <w:rFonts w:ascii="Times New Roman" w:eastAsia="Times New Roman" w:hAnsi="Times New Roman" w:cs="Times New Roman"/>
          <w:sz w:val="24"/>
          <w:szCs w:val="24"/>
          <w:lang w:eastAsia="fr-FR"/>
        </w:rPr>
        <w:t>on apaisée des crises foncières par UNCCD et ses partenaires</w:t>
      </w:r>
    </w:p>
    <w:p w:rsidR="00FC32BC" w:rsidRPr="001E5C9C" w:rsidRDefault="00FC32BC" w:rsidP="00FC32BC">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Justice et Droits Humains :</w:t>
      </w:r>
      <w:r w:rsidRPr="001E5C9C">
        <w:rPr>
          <w:rFonts w:ascii="Times New Roman" w:eastAsia="Times New Roman" w:hAnsi="Times New Roman" w:cs="Times New Roman"/>
          <w:sz w:val="24"/>
          <w:szCs w:val="24"/>
          <w:lang w:eastAsia="fr-FR"/>
        </w:rPr>
        <w:t xml:space="preserve"> Plaidoyer actif contre la corruption judiciaire, le viol et l'impunité des crimes. Nos actions s'alignent sur les st</w:t>
      </w:r>
      <w:r>
        <w:rPr>
          <w:rFonts w:ascii="Times New Roman" w:eastAsia="Times New Roman" w:hAnsi="Times New Roman" w:cs="Times New Roman"/>
          <w:sz w:val="24"/>
          <w:szCs w:val="24"/>
          <w:lang w:eastAsia="fr-FR"/>
        </w:rPr>
        <w:t>andards de l'UNODC-NGO, UNDC, FIDH, Education Out Loud, AfricanDefenders, ACDHRS,…</w:t>
      </w:r>
    </w:p>
    <w:p w:rsidR="00FC32BC" w:rsidRPr="001E5C9C" w:rsidRDefault="00FC32BC" w:rsidP="00FC32BC">
      <w:pPr>
        <w:numPr>
          <w:ilvl w:val="0"/>
          <w:numId w:val="3"/>
        </w:numPr>
        <w:spacing w:after="0"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Agriculture Durable et G</w:t>
      </w:r>
      <w:r>
        <w:rPr>
          <w:rFonts w:ascii="Times New Roman" w:eastAsia="Times New Roman" w:hAnsi="Times New Roman" w:cs="Times New Roman"/>
          <w:b/>
          <w:bCs/>
          <w:sz w:val="24"/>
          <w:szCs w:val="24"/>
          <w:lang w:eastAsia="fr-FR"/>
        </w:rPr>
        <w:t xml:space="preserve">estion </w:t>
      </w:r>
      <w:r w:rsidRPr="001E5C9C">
        <w:rPr>
          <w:rFonts w:ascii="Times New Roman" w:eastAsia="Times New Roman" w:hAnsi="Times New Roman" w:cs="Times New Roman"/>
          <w:b/>
          <w:bCs/>
          <w:sz w:val="24"/>
          <w:szCs w:val="24"/>
          <w:lang w:eastAsia="fr-FR"/>
        </w:rPr>
        <w:t>D</w:t>
      </w:r>
      <w:r>
        <w:rPr>
          <w:rFonts w:ascii="Times New Roman" w:eastAsia="Times New Roman" w:hAnsi="Times New Roman" w:cs="Times New Roman"/>
          <w:b/>
          <w:bCs/>
          <w:sz w:val="24"/>
          <w:szCs w:val="24"/>
          <w:lang w:eastAsia="fr-FR"/>
        </w:rPr>
        <w:t xml:space="preserve">urable des </w:t>
      </w:r>
      <w:r w:rsidRPr="001E5C9C">
        <w:rPr>
          <w:rFonts w:ascii="Times New Roman" w:eastAsia="Times New Roman" w:hAnsi="Times New Roman" w:cs="Times New Roman"/>
          <w:b/>
          <w:bCs/>
          <w:sz w:val="24"/>
          <w:szCs w:val="24"/>
          <w:lang w:eastAsia="fr-FR"/>
        </w:rPr>
        <w:t>T</w:t>
      </w:r>
      <w:r>
        <w:rPr>
          <w:rFonts w:ascii="Times New Roman" w:eastAsia="Times New Roman" w:hAnsi="Times New Roman" w:cs="Times New Roman"/>
          <w:b/>
          <w:bCs/>
          <w:sz w:val="24"/>
          <w:szCs w:val="24"/>
          <w:lang w:eastAsia="fr-FR"/>
        </w:rPr>
        <w:t>erres (GDT)</w:t>
      </w:r>
      <w:r w:rsidRPr="001E5C9C">
        <w:rPr>
          <w:rFonts w:ascii="Times New Roman" w:eastAsia="Times New Roman" w:hAnsi="Times New Roman" w:cs="Times New Roman"/>
          <w:b/>
          <w:bCs/>
          <w:sz w:val="24"/>
          <w:szCs w:val="24"/>
          <w:lang w:eastAsia="fr-FR"/>
        </w:rPr>
        <w:t xml:space="preserve"> :</w:t>
      </w:r>
      <w:r w:rsidRPr="001E5C9C">
        <w:rPr>
          <w:rFonts w:ascii="Times New Roman" w:eastAsia="Times New Roman" w:hAnsi="Times New Roman" w:cs="Times New Roman"/>
          <w:sz w:val="24"/>
          <w:szCs w:val="24"/>
          <w:lang w:eastAsia="fr-FR"/>
        </w:rPr>
        <w:t xml:space="preserve"> En collaboration avec le MINEAGRI et l'UNCCD (via G20 Land Initiative, WOCAT, IUCN), nous avons promu la Gestion Durable des Terres (GDT) pour restaurer les sols et redynamiser les chaînes de valeur, visant l'exportation </w:t>
      </w:r>
      <w:r>
        <w:rPr>
          <w:rFonts w:ascii="Times New Roman" w:eastAsia="Times New Roman" w:hAnsi="Times New Roman" w:cs="Times New Roman"/>
          <w:sz w:val="24"/>
          <w:szCs w:val="24"/>
          <w:lang w:eastAsia="fr-FR"/>
        </w:rPr>
        <w:t xml:space="preserve">de nos produits </w:t>
      </w:r>
      <w:r w:rsidRPr="001E5C9C">
        <w:rPr>
          <w:rFonts w:ascii="Times New Roman" w:eastAsia="Times New Roman" w:hAnsi="Times New Roman" w:cs="Times New Roman"/>
          <w:sz w:val="24"/>
          <w:szCs w:val="24"/>
          <w:lang w:eastAsia="fr-FR"/>
        </w:rPr>
        <w:t>pour générer des devises.</w:t>
      </w:r>
    </w:p>
    <w:p w:rsidR="00FC32BC" w:rsidRDefault="00FC32BC" w:rsidP="00FC32BC">
      <w:pPr>
        <w:spacing w:after="0" w:line="240" w:lineRule="auto"/>
        <w:jc w:val="both"/>
        <w:outlineLvl w:val="3"/>
        <w:rPr>
          <w:rFonts w:ascii="Times New Roman" w:eastAsia="Times New Roman" w:hAnsi="Times New Roman" w:cs="Times New Roman"/>
          <w:b/>
          <w:bCs/>
          <w:sz w:val="24"/>
          <w:szCs w:val="24"/>
          <w:lang w:eastAsia="fr-FR"/>
        </w:rPr>
      </w:pPr>
    </w:p>
    <w:p w:rsidR="00FC32BC" w:rsidRPr="001E5C9C" w:rsidRDefault="00FC32BC" w:rsidP="00FC32BC">
      <w:pPr>
        <w:spacing w:after="0" w:line="240" w:lineRule="auto"/>
        <w:jc w:val="both"/>
        <w:outlineLvl w:val="3"/>
        <w:rPr>
          <w:rFonts w:ascii="Times New Roman" w:eastAsia="Times New Roman" w:hAnsi="Times New Roman" w:cs="Times New Roman"/>
          <w:b/>
          <w:bCs/>
          <w:sz w:val="24"/>
          <w:szCs w:val="24"/>
          <w:lang w:eastAsia="fr-FR"/>
        </w:rPr>
      </w:pPr>
      <w:bookmarkStart w:id="13" w:name="_Toc221173002"/>
      <w:r>
        <w:rPr>
          <w:rFonts w:ascii="Times New Roman" w:eastAsia="Times New Roman" w:hAnsi="Times New Roman" w:cs="Times New Roman"/>
          <w:b/>
          <w:bCs/>
          <w:sz w:val="24"/>
          <w:szCs w:val="24"/>
          <w:lang w:eastAsia="fr-FR"/>
        </w:rPr>
        <w:t>V.2. Partenariats Stratégiques à travers l’ODD 17</w:t>
      </w:r>
      <w:bookmarkEnd w:id="13"/>
    </w:p>
    <w:p w:rsidR="00FC32BC" w:rsidRPr="009F2912" w:rsidRDefault="00FC32BC" w:rsidP="00FC32BC">
      <w:pPr>
        <w:spacing w:after="0" w:line="240" w:lineRule="auto"/>
        <w:jc w:val="both"/>
        <w:rPr>
          <w:rFonts w:ascii="Times New Roman" w:eastAsia="Times New Roman" w:hAnsi="Times New Roman" w:cs="Times New Roman"/>
          <w:szCs w:val="24"/>
          <w:lang w:eastAsia="fr-FR"/>
        </w:rPr>
      </w:pPr>
      <w:r w:rsidRPr="009F2912">
        <w:rPr>
          <w:noProof/>
          <w:sz w:val="20"/>
          <w:lang w:eastAsia="fr-FR"/>
        </w:rPr>
        <w:drawing>
          <wp:anchor distT="0" distB="0" distL="114300" distR="114300" simplePos="0" relativeHeight="251667456" behindDoc="0" locked="0" layoutInCell="1" allowOverlap="1" wp14:anchorId="0C53699E" wp14:editId="77079861">
            <wp:simplePos x="0" y="0"/>
            <wp:positionH relativeFrom="column">
              <wp:posOffset>-490220</wp:posOffset>
            </wp:positionH>
            <wp:positionV relativeFrom="paragraph">
              <wp:posOffset>699135</wp:posOffset>
            </wp:positionV>
            <wp:extent cx="6677660" cy="2857500"/>
            <wp:effectExtent l="0" t="0" r="8890" b="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9F2912">
        <w:rPr>
          <w:rFonts w:ascii="Times New Roman" w:eastAsia="Times New Roman" w:hAnsi="Times New Roman" w:cs="Times New Roman"/>
          <w:szCs w:val="24"/>
          <w:lang w:eastAsia="fr-FR"/>
        </w:rPr>
        <w:t>Conformément à l'ODD 17, nous avons consolidé nos alliances pour le développement humain et la protection des écosystèmes. La synergie avec les acteurs de l'eau (Secrétariat du Forum Mondial de l'Eau, UN Energie, UN Pandémie) a été cruciale pour répondre aux défis hydriques actuels.</w:t>
      </w:r>
    </w:p>
    <w:p w:rsidR="00FC32BC" w:rsidRDefault="00FC32BC" w:rsidP="00FC32BC">
      <w:pPr>
        <w:pStyle w:val="Titre4"/>
        <w:jc w:val="both"/>
      </w:pPr>
    </w:p>
    <w:p w:rsidR="00FC32BC" w:rsidRDefault="00FC32BC" w:rsidP="00FC32BC">
      <w:pPr>
        <w:pStyle w:val="Titre4"/>
        <w:jc w:val="both"/>
      </w:pPr>
      <w:bookmarkStart w:id="14" w:name="_Toc221173003"/>
      <w:r>
        <w:t>V.3. Problématique Foncière et Innovation Technologique</w:t>
      </w:r>
      <w:bookmarkEnd w:id="14"/>
    </w:p>
    <w:p w:rsidR="00FC32BC" w:rsidRDefault="00FC32BC" w:rsidP="00FC32BC">
      <w:pPr>
        <w:pStyle w:val="NormalWeb"/>
        <w:jc w:val="both"/>
      </w:pPr>
      <w:r>
        <w:t>Face à la pression sur les carrières et les terres arables, l'ALUCOVIS-APDD propose un changement de paradigme :</w:t>
      </w:r>
    </w:p>
    <w:p w:rsidR="00FC32BC" w:rsidRDefault="00FC32BC" w:rsidP="00FC32BC">
      <w:pPr>
        <w:pStyle w:val="NormalWeb"/>
        <w:numPr>
          <w:ilvl w:val="0"/>
          <w:numId w:val="9"/>
        </w:numPr>
        <w:jc w:val="both"/>
      </w:pPr>
      <w:r>
        <w:rPr>
          <w:rStyle w:val="lev"/>
        </w:rPr>
        <w:t>Projet "Drone-Surveillance" :</w:t>
      </w:r>
      <w:r>
        <w:t xml:space="preserve"> Mise en place d'un système de monitoring par drones pour cartographier les carrières d'orpailleurs et prévenir les empiètements sur les terres agricoles. Ce programme, sous réseautage sous-régional, vise à fournir des données neutres pour la résolution des conflits fonciers.</w:t>
      </w:r>
    </w:p>
    <w:p w:rsidR="00FC32BC" w:rsidRPr="001E5C9C" w:rsidRDefault="00FC32BC" w:rsidP="00FC32B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sz w:val="24"/>
          <w:szCs w:val="24"/>
          <w:lang w:eastAsia="fr-FR"/>
        </w:rPr>
        <w:t xml:space="preserve">Le secteur des carrières d’orpailleurs et le conflit entre agriculteurs et éleveurs en zone de Bujumbura restent </w:t>
      </w:r>
      <w:r>
        <w:rPr>
          <w:rFonts w:ascii="Times New Roman" w:eastAsia="Times New Roman" w:hAnsi="Times New Roman" w:cs="Times New Roman"/>
          <w:sz w:val="24"/>
          <w:szCs w:val="24"/>
          <w:lang w:eastAsia="fr-FR"/>
        </w:rPr>
        <w:t xml:space="preserve">froidement </w:t>
      </w:r>
      <w:r w:rsidRPr="001E5C9C">
        <w:rPr>
          <w:rFonts w:ascii="Times New Roman" w:eastAsia="Times New Roman" w:hAnsi="Times New Roman" w:cs="Times New Roman"/>
          <w:sz w:val="24"/>
          <w:szCs w:val="24"/>
          <w:lang w:eastAsia="fr-FR"/>
        </w:rPr>
        <w:t>préoccupants.</w:t>
      </w:r>
    </w:p>
    <w:p w:rsidR="00FC32BC" w:rsidRPr="001E5C9C" w:rsidRDefault="00FC32BC" w:rsidP="00FC32BC">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bookmarkStart w:id="15" w:name="_Toc221173004"/>
      <w:r>
        <w:rPr>
          <w:rFonts w:ascii="Times New Roman" w:eastAsia="Times New Roman" w:hAnsi="Times New Roman" w:cs="Times New Roman"/>
          <w:b/>
          <w:bCs/>
          <w:sz w:val="24"/>
          <w:szCs w:val="24"/>
          <w:lang w:eastAsia="fr-FR"/>
        </w:rPr>
        <w:t>V.</w:t>
      </w:r>
      <w:r w:rsidRPr="001E5C9C">
        <w:rPr>
          <w:rFonts w:ascii="Times New Roman" w:eastAsia="Times New Roman" w:hAnsi="Times New Roman" w:cs="Times New Roman"/>
          <w:b/>
          <w:bCs/>
          <w:sz w:val="24"/>
          <w:szCs w:val="24"/>
          <w:lang w:eastAsia="fr-FR"/>
        </w:rPr>
        <w:t>4. Promotion des Droits Humains et Inclusion Genre</w:t>
      </w:r>
      <w:bookmarkEnd w:id="15"/>
    </w:p>
    <w:p w:rsidR="00FC32BC" w:rsidRPr="001E5C9C" w:rsidRDefault="00FC32BC" w:rsidP="00FC32B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sz w:val="24"/>
          <w:szCs w:val="24"/>
          <w:lang w:eastAsia="fr-FR"/>
        </w:rPr>
        <w:t>Nos actions de plaidoyer et de communication ont visé à briser le silence autour des inégalités de genre, en intégrant ces thématiques dans tous les processus de décision locale pour une autonomisation réelle des femmes.</w:t>
      </w:r>
    </w:p>
    <w:p w:rsidR="00FC32BC" w:rsidRPr="00882708" w:rsidRDefault="00FC32BC" w:rsidP="00FC32BC">
      <w:pPr>
        <w:pStyle w:val="Titre3"/>
        <w:jc w:val="both"/>
        <w:rPr>
          <w:sz w:val="24"/>
        </w:rPr>
      </w:pPr>
      <w:bookmarkStart w:id="16" w:name="_Toc221173005"/>
      <w:r>
        <w:rPr>
          <w:sz w:val="24"/>
        </w:rPr>
        <w:t>V.</w:t>
      </w:r>
      <w:r w:rsidRPr="00882708">
        <w:rPr>
          <w:sz w:val="24"/>
        </w:rPr>
        <w:t>5. Lutte contre les VSBG, la Traite des Personnes et Corruption Judiciaire</w:t>
      </w:r>
      <w:r>
        <w:rPr>
          <w:sz w:val="24"/>
        </w:rPr>
        <w:t xml:space="preserve"> au viol.</w:t>
      </w:r>
      <w:bookmarkEnd w:id="16"/>
    </w:p>
    <w:p w:rsidR="00FC32BC" w:rsidRDefault="00FC32BC" w:rsidP="00FC32BC">
      <w:pPr>
        <w:pStyle w:val="NormalWeb"/>
        <w:jc w:val="both"/>
      </w:pPr>
      <w:r>
        <w:t>Le lien entre précarité économique et violences a été flagrant cette année. Le surendettement des couples (dettes bancaires pour des récoltes qui ont échoué) a augmenté les cas de violences domestiques. L'ALUCOVIS-APDD renforce son plaidoyer contre la corruption qui permet l'impunité des crimes de viol et de traite.</w:t>
      </w:r>
    </w:p>
    <w:p w:rsidR="00FC32BC" w:rsidRPr="001E5C9C" w:rsidRDefault="00FC32BC" w:rsidP="00FC32B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sz w:val="24"/>
          <w:szCs w:val="24"/>
          <w:lang w:eastAsia="fr-FR"/>
        </w:rPr>
        <w:t>L'association a intensifié ses efforts contre les Violences Sexuelles et Basées sur le Genre (VSBG) ainsi que contre la traite interne et externe des personnes. Nous dénonçons fermement la corruption qui favorise l'impunité des auteurs de viols.</w:t>
      </w:r>
    </w:p>
    <w:p w:rsidR="00FC32BC" w:rsidRPr="001E5C9C" w:rsidRDefault="00FC32BC" w:rsidP="00FC32BC">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bookmarkStart w:id="17" w:name="_Toc221173006"/>
      <w:r>
        <w:rPr>
          <w:rFonts w:ascii="Times New Roman" w:eastAsia="Times New Roman" w:hAnsi="Times New Roman" w:cs="Times New Roman"/>
          <w:b/>
          <w:bCs/>
          <w:sz w:val="24"/>
          <w:szCs w:val="24"/>
          <w:lang w:eastAsia="fr-FR"/>
        </w:rPr>
        <w:t>V.</w:t>
      </w:r>
      <w:r w:rsidRPr="001E5C9C">
        <w:rPr>
          <w:rFonts w:ascii="Times New Roman" w:eastAsia="Times New Roman" w:hAnsi="Times New Roman" w:cs="Times New Roman"/>
          <w:b/>
          <w:bCs/>
          <w:sz w:val="24"/>
          <w:szCs w:val="24"/>
          <w:lang w:eastAsia="fr-FR"/>
        </w:rPr>
        <w:t>6. Éducation Inclusive et Protection de l'Enfance</w:t>
      </w:r>
      <w:bookmarkEnd w:id="17"/>
    </w:p>
    <w:p w:rsidR="00FC32BC" w:rsidRPr="001E5C9C" w:rsidRDefault="00FC32BC" w:rsidP="00FC32BC">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Contexte d'Urgence à Gatumba :</w:t>
      </w:r>
      <w:r w:rsidRPr="001E5C9C">
        <w:rPr>
          <w:rFonts w:ascii="Times New Roman" w:eastAsia="Times New Roman" w:hAnsi="Times New Roman" w:cs="Times New Roman"/>
          <w:sz w:val="24"/>
          <w:szCs w:val="24"/>
          <w:lang w:eastAsia="fr-FR"/>
        </w:rPr>
        <w:t xml:space="preserve"> Les inondations dévastatrices à Mutimbuzi ont forcé le déplaceme</w:t>
      </w:r>
      <w:r>
        <w:rPr>
          <w:rFonts w:ascii="Times New Roman" w:eastAsia="Times New Roman" w:hAnsi="Times New Roman" w:cs="Times New Roman"/>
          <w:sz w:val="24"/>
          <w:szCs w:val="24"/>
          <w:lang w:eastAsia="fr-FR"/>
        </w:rPr>
        <w:t xml:space="preserve">nt de populations vers Buganda en Commune </w:t>
      </w:r>
      <w:r w:rsidRPr="001E5C9C">
        <w:rPr>
          <w:rFonts w:ascii="Times New Roman" w:eastAsia="Times New Roman" w:hAnsi="Times New Roman" w:cs="Times New Roman"/>
          <w:sz w:val="24"/>
          <w:szCs w:val="24"/>
          <w:lang w:eastAsia="fr-FR"/>
        </w:rPr>
        <w:t>Bukinanyana).</w:t>
      </w:r>
    </w:p>
    <w:p w:rsidR="00FC32BC" w:rsidRPr="001E5C9C" w:rsidRDefault="00FC32BC" w:rsidP="00FC32BC">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Impact Scolaire :</w:t>
      </w:r>
      <w:r w:rsidRPr="001E5C9C">
        <w:rPr>
          <w:rFonts w:ascii="Times New Roman" w:eastAsia="Times New Roman" w:hAnsi="Times New Roman" w:cs="Times New Roman"/>
          <w:sz w:val="24"/>
          <w:szCs w:val="24"/>
          <w:lang w:eastAsia="fr-FR"/>
        </w:rPr>
        <w:t xml:space="preserve"> Ce déplacement non programmé a perturbé la scolarité de milliers d'enfants (matériel détruit, nouvelles inscriptions difficiles).</w:t>
      </w:r>
    </w:p>
    <w:p w:rsidR="00FC32BC" w:rsidRPr="001E5C9C" w:rsidRDefault="00FC32BC" w:rsidP="00FC32BC">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E5C9C">
        <w:rPr>
          <w:rFonts w:ascii="Times New Roman" w:eastAsia="Times New Roman" w:hAnsi="Times New Roman" w:cs="Times New Roman"/>
          <w:b/>
          <w:bCs/>
          <w:sz w:val="24"/>
          <w:szCs w:val="24"/>
          <w:lang w:eastAsia="fr-FR"/>
        </w:rPr>
        <w:t>Actions :</w:t>
      </w:r>
      <w:r w:rsidRPr="001E5C9C">
        <w:rPr>
          <w:rFonts w:ascii="Times New Roman" w:eastAsia="Times New Roman" w:hAnsi="Times New Roman" w:cs="Times New Roman"/>
          <w:sz w:val="24"/>
          <w:szCs w:val="24"/>
          <w:lang w:eastAsia="fr-FR"/>
        </w:rPr>
        <w:t xml:space="preserve"> Plaidoyer auprès des décideurs pour une tolérance zéro face aux abus en milieu scolaire et pour une stabilisation rapide des conditions de vie des enfants déplacés.</w:t>
      </w:r>
    </w:p>
    <w:p w:rsidR="00FC32BC" w:rsidRPr="004B59FB" w:rsidRDefault="00FC32BC" w:rsidP="00FC32BC">
      <w:pPr>
        <w:pStyle w:val="Titre3"/>
        <w:jc w:val="both"/>
        <w:rPr>
          <w:sz w:val="24"/>
        </w:rPr>
      </w:pPr>
      <w:bookmarkStart w:id="18" w:name="_Toc221173007"/>
      <w:r>
        <w:rPr>
          <w:sz w:val="24"/>
        </w:rPr>
        <w:t>VI. Impact d</w:t>
      </w:r>
      <w:r w:rsidRPr="004B59FB">
        <w:rPr>
          <w:sz w:val="24"/>
        </w:rPr>
        <w:t>u Cha</w:t>
      </w:r>
      <w:r>
        <w:rPr>
          <w:sz w:val="24"/>
        </w:rPr>
        <w:t>ngement Climatique, Résilience e</w:t>
      </w:r>
      <w:r w:rsidRPr="004B59FB">
        <w:rPr>
          <w:sz w:val="24"/>
        </w:rPr>
        <w:t>t Exploitation Minière</w:t>
      </w:r>
      <w:bookmarkEnd w:id="18"/>
    </w:p>
    <w:p w:rsidR="00FC32BC" w:rsidRDefault="00FC32BC" w:rsidP="00FC32BC">
      <w:pPr>
        <w:pStyle w:val="NormalWeb"/>
        <w:jc w:val="both"/>
      </w:pPr>
      <w:r>
        <w:t>L'année 2025 a été le théâtre de chocs climatiques extrêmes, transformant les zones de production en zones de détresse. L'ALUCOVIS-APDD a documenté une dégradation alarmante des conditions de vie :</w:t>
      </w:r>
    </w:p>
    <w:p w:rsidR="00FC32BC" w:rsidRDefault="00FC32BC" w:rsidP="00FC32BC">
      <w:pPr>
        <w:pStyle w:val="Titre4"/>
        <w:jc w:val="both"/>
        <w:sectPr w:rsidR="00FC32BC">
          <w:pgSz w:w="11906" w:h="16838"/>
          <w:pgMar w:top="1417" w:right="1417" w:bottom="1417" w:left="1417" w:header="708" w:footer="708" w:gutter="0"/>
          <w:cols w:space="708"/>
          <w:docGrid w:linePitch="360"/>
        </w:sectPr>
      </w:pPr>
    </w:p>
    <w:p w:rsidR="00FC32BC" w:rsidRDefault="00FC32BC" w:rsidP="00FC32BC">
      <w:pPr>
        <w:pStyle w:val="Titre4"/>
        <w:jc w:val="both"/>
        <w:sectPr w:rsidR="00FC32BC" w:rsidSect="00753125">
          <w:pgSz w:w="16838" w:h="11906" w:orient="landscape"/>
          <w:pgMar w:top="1418" w:right="1418" w:bottom="1418" w:left="1418" w:header="709" w:footer="709" w:gutter="0"/>
          <w:cols w:space="708"/>
          <w:docGrid w:linePitch="360"/>
        </w:sectPr>
      </w:pPr>
      <w:bookmarkStart w:id="19" w:name="_Toc221173008"/>
      <w:r w:rsidRPr="007B130D">
        <w:rPr>
          <w:rFonts w:ascii="Century Gothic" w:hAnsi="Century Gothic"/>
          <w:noProof/>
          <w:sz w:val="20"/>
          <w:szCs w:val="20"/>
        </w:rPr>
        <w:drawing>
          <wp:anchor distT="0" distB="0" distL="114300" distR="114300" simplePos="0" relativeHeight="251666432" behindDoc="0" locked="0" layoutInCell="1" allowOverlap="1" wp14:anchorId="796DB41A" wp14:editId="00A334D2">
            <wp:simplePos x="0" y="0"/>
            <wp:positionH relativeFrom="column">
              <wp:posOffset>-290830</wp:posOffset>
            </wp:positionH>
            <wp:positionV relativeFrom="paragraph">
              <wp:posOffset>4445</wp:posOffset>
            </wp:positionV>
            <wp:extent cx="9438005" cy="4714875"/>
            <wp:effectExtent l="0" t="0" r="10795" b="9525"/>
            <wp:wrapSquare wrapText="bothSides"/>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bookmarkEnd w:id="19"/>
    </w:p>
    <w:p w:rsidR="00FC32BC" w:rsidRDefault="00FC32BC" w:rsidP="00FC32BC">
      <w:pPr>
        <w:pStyle w:val="Titre4"/>
        <w:jc w:val="both"/>
      </w:pPr>
      <w:bookmarkStart w:id="20" w:name="_Toc221173009"/>
      <w:r>
        <w:t>VI.1. Sinistres Agricoles et Chocs Pastoraux</w:t>
      </w:r>
      <w:bookmarkEnd w:id="20"/>
    </w:p>
    <w:p w:rsidR="00FC32BC" w:rsidRDefault="00FC32BC" w:rsidP="00FC32BC">
      <w:pPr>
        <w:pStyle w:val="NormalWeb"/>
        <w:numPr>
          <w:ilvl w:val="0"/>
          <w:numId w:val="14"/>
        </w:numPr>
        <w:jc w:val="both"/>
      </w:pPr>
      <w:r>
        <w:rPr>
          <w:rStyle w:val="lev"/>
        </w:rPr>
        <w:t>Destruction des moyens de subsistance :</w:t>
      </w:r>
      <w:r>
        <w:t xml:space="preserve"> La dualité entre sécheresse persistante au sud et inondations torrentielles à l'ouest a provoqué une destruction massive des champs.</w:t>
      </w:r>
    </w:p>
    <w:p w:rsidR="00FC32BC" w:rsidRDefault="00FC32BC" w:rsidP="00FC32BC">
      <w:pPr>
        <w:pStyle w:val="NormalWeb"/>
        <w:numPr>
          <w:ilvl w:val="0"/>
          <w:numId w:val="14"/>
        </w:numPr>
        <w:jc w:val="both"/>
      </w:pPr>
      <w:r>
        <w:rPr>
          <w:rStyle w:val="lev"/>
        </w:rPr>
        <w:t>Pertes Pastorales :</w:t>
      </w:r>
      <w:r>
        <w:t xml:space="preserve"> Les animaux sous stabulation, piliers de l'économie familiale, ont été décimés par ces chocs climatiques et les maladies émergentes, privant les ménages de leur capital de survie.</w:t>
      </w:r>
    </w:p>
    <w:p w:rsidR="00FC32BC" w:rsidRDefault="00FC32BC" w:rsidP="00FC32BC">
      <w:pPr>
        <w:pStyle w:val="NormalWeb"/>
        <w:numPr>
          <w:ilvl w:val="0"/>
          <w:numId w:val="14"/>
        </w:numPr>
        <w:jc w:val="both"/>
      </w:pPr>
      <w:r>
        <w:rPr>
          <w:rStyle w:val="lev"/>
        </w:rPr>
        <w:t>Zones de réinstallation (Buganda) :</w:t>
      </w:r>
      <w:r>
        <w:t xml:space="preserve"> La flambée des prix dans les nouveaux lieux d'implantation comme Buganda rend l'adaptation économique presque impossible pour les déplacés de Gatumba.</w:t>
      </w:r>
    </w:p>
    <w:p w:rsidR="00FC32BC" w:rsidRDefault="00FC32BC" w:rsidP="00FC32BC">
      <w:pPr>
        <w:pStyle w:val="Titre4"/>
        <w:jc w:val="both"/>
      </w:pPr>
      <w:bookmarkStart w:id="21" w:name="_Toc221173010"/>
      <w:r>
        <w:t>VI.2. Tragédie des Carrières : L'Or de la Mort</w:t>
      </w:r>
      <w:bookmarkEnd w:id="21"/>
    </w:p>
    <w:p w:rsidR="00FC32BC" w:rsidRDefault="00FC32BC" w:rsidP="00FC32BC">
      <w:pPr>
        <w:pStyle w:val="NormalWeb"/>
        <w:jc w:val="both"/>
      </w:pPr>
      <w:r>
        <w:t>L'ALUCOVIS-APDD tire la sonnette d'alarme sur l'exploitation anarchique des carrières de minerais. Dans un contexte de survie, de nombreux jeunes se ruent vers l'orpaillage au péril de leur vie :</w:t>
      </w:r>
    </w:p>
    <w:p w:rsidR="00FC32BC" w:rsidRDefault="00FC32BC" w:rsidP="00FC32BC">
      <w:pPr>
        <w:pStyle w:val="NormalWeb"/>
        <w:numPr>
          <w:ilvl w:val="0"/>
          <w:numId w:val="15"/>
        </w:numPr>
        <w:jc w:val="both"/>
      </w:pPr>
      <w:r>
        <w:rPr>
          <w:rStyle w:val="lev"/>
        </w:rPr>
        <w:t>Bilan Humain :</w:t>
      </w:r>
      <w:r>
        <w:t xml:space="preserve"> Les éboulements et effondrements de terres dans des fossés non sécurisés ont déjà coûté la vie à </w:t>
      </w:r>
      <w:r>
        <w:rPr>
          <w:rStyle w:val="lev"/>
        </w:rPr>
        <w:t>plus de 15 orpailleurs</w:t>
      </w:r>
      <w:r>
        <w:t>.</w:t>
      </w:r>
    </w:p>
    <w:p w:rsidR="00FC32BC" w:rsidRDefault="00FC32BC" w:rsidP="00FC32BC">
      <w:pPr>
        <w:pStyle w:val="NormalWeb"/>
        <w:numPr>
          <w:ilvl w:val="0"/>
          <w:numId w:val="15"/>
        </w:numPr>
        <w:jc w:val="both"/>
      </w:pPr>
      <w:r>
        <w:rPr>
          <w:rStyle w:val="lev"/>
        </w:rPr>
        <w:t>Zones Critiques :</w:t>
      </w:r>
      <w:r>
        <w:t xml:space="preserve"> L'association a identifié des sites de haute dangerosité entre </w:t>
      </w:r>
      <w:r>
        <w:rPr>
          <w:rStyle w:val="lev"/>
        </w:rPr>
        <w:t>Mabayi</w:t>
      </w:r>
      <w:r>
        <w:t xml:space="preserve">, </w:t>
      </w:r>
      <w:r>
        <w:rPr>
          <w:rStyle w:val="lev"/>
        </w:rPr>
        <w:t>Nyamagana</w:t>
      </w:r>
      <w:r>
        <w:t xml:space="preserve"> à </w:t>
      </w:r>
      <w:r>
        <w:rPr>
          <w:rStyle w:val="lev"/>
        </w:rPr>
        <w:t>Murambi</w:t>
      </w:r>
      <w:r>
        <w:t xml:space="preserve">, </w:t>
      </w:r>
      <w:r>
        <w:rPr>
          <w:rStyle w:val="lev"/>
        </w:rPr>
        <w:t>Gasenyi</w:t>
      </w:r>
      <w:r>
        <w:t xml:space="preserve"> et </w:t>
      </w:r>
      <w:r>
        <w:rPr>
          <w:rStyle w:val="lev"/>
        </w:rPr>
        <w:t>Kaburantwa</w:t>
      </w:r>
      <w:r>
        <w:t xml:space="preserve"> (Province de Bujumbura), ainsi qu'à </w:t>
      </w:r>
      <w:r>
        <w:rPr>
          <w:rStyle w:val="lev"/>
        </w:rPr>
        <w:t>Kabarore</w:t>
      </w:r>
      <w:r>
        <w:t xml:space="preserve"> (Kayanza) et </w:t>
      </w:r>
      <w:r>
        <w:rPr>
          <w:rStyle w:val="lev"/>
        </w:rPr>
        <w:t>Muyinga</w:t>
      </w:r>
      <w:r>
        <w:t>.</w:t>
      </w:r>
    </w:p>
    <w:p w:rsidR="00FC32BC" w:rsidRDefault="00FC32BC" w:rsidP="00FC32BC">
      <w:pPr>
        <w:pStyle w:val="NormalWeb"/>
        <w:numPr>
          <w:ilvl w:val="0"/>
          <w:numId w:val="15"/>
        </w:numPr>
        <w:jc w:val="both"/>
      </w:pPr>
      <w:r>
        <w:rPr>
          <w:rStyle w:val="lev"/>
        </w:rPr>
        <w:t>Survivants en détresse :</w:t>
      </w:r>
      <w:r>
        <w:t xml:space="preserve"> Plus de </w:t>
      </w:r>
      <w:r>
        <w:rPr>
          <w:rStyle w:val="lev"/>
        </w:rPr>
        <w:t>54 survivants</w:t>
      </w:r>
      <w:r>
        <w:t xml:space="preserve"> blessés ou traumatisés ont été recensés, nécessitant une assistance médicale et psychologique urgente.</w:t>
      </w:r>
    </w:p>
    <w:p w:rsidR="00FC32BC" w:rsidRDefault="00FC32BC" w:rsidP="00FC32BC">
      <w:pPr>
        <w:pStyle w:val="Titre4"/>
        <w:jc w:val="both"/>
      </w:pPr>
      <w:bookmarkStart w:id="22" w:name="_Toc221173011"/>
      <w:r>
        <w:t>VI.3. Échec de la Filière Maïs et Sécurité Alimentaire</w:t>
      </w:r>
      <w:bookmarkEnd w:id="22"/>
    </w:p>
    <w:p w:rsidR="00FC32BC" w:rsidRDefault="00FC32BC" w:rsidP="00FC32BC">
      <w:pPr>
        <w:pStyle w:val="NormalWeb"/>
        <w:jc w:val="both"/>
      </w:pPr>
      <w:r>
        <w:t>Malgré les efforts de production, l'année 2025 n'a pas marqué de succès pour la culture du maïs:</w:t>
      </w:r>
    </w:p>
    <w:p w:rsidR="00FC32BC" w:rsidRDefault="00FC32BC" w:rsidP="00FC32BC">
      <w:pPr>
        <w:pStyle w:val="NormalWeb"/>
        <w:numPr>
          <w:ilvl w:val="0"/>
          <w:numId w:val="16"/>
        </w:numPr>
        <w:jc w:val="both"/>
      </w:pPr>
      <w:r>
        <w:rPr>
          <w:rStyle w:val="lev"/>
        </w:rPr>
        <w:t>Manque de Marchés :</w:t>
      </w:r>
      <w:r>
        <w:t xml:space="preserve"> L'absence de marchés d'écoulement de qualité a découragé les producteurs.</w:t>
      </w:r>
    </w:p>
    <w:p w:rsidR="00FC32BC" w:rsidRDefault="00FC32BC" w:rsidP="00FC32BC">
      <w:pPr>
        <w:pStyle w:val="NormalWeb"/>
        <w:numPr>
          <w:ilvl w:val="0"/>
          <w:numId w:val="16"/>
        </w:numPr>
        <w:jc w:val="both"/>
      </w:pPr>
      <w:r>
        <w:rPr>
          <w:rStyle w:val="lev"/>
        </w:rPr>
        <w:t>Pression Démographique :</w:t>
      </w:r>
      <w:r>
        <w:t xml:space="preserve"> L'afflux massif des nouveaux réfugiés congolais a conduit à une consommation immédiate des stocks restants.</w:t>
      </w:r>
    </w:p>
    <w:p w:rsidR="00FC32BC" w:rsidRDefault="00FC32BC" w:rsidP="00FC32BC">
      <w:pPr>
        <w:pStyle w:val="NormalWeb"/>
        <w:numPr>
          <w:ilvl w:val="0"/>
          <w:numId w:val="16"/>
        </w:numPr>
        <w:jc w:val="both"/>
      </w:pPr>
      <w:r>
        <w:rPr>
          <w:rStyle w:val="lev"/>
        </w:rPr>
        <w:t>Rupture de la Chaîne de Valeur :</w:t>
      </w:r>
      <w:r>
        <w:t xml:space="preserve"> Ce produit a été consommé "en vrac" sans aucune transformation ni stockage stratégique, empêchant la création d'une chaîne de valeur capable de garantir la sécurité alimentaire au niveau provincial et national.</w:t>
      </w:r>
    </w:p>
    <w:p w:rsidR="00FC32BC" w:rsidRDefault="00FC32BC" w:rsidP="00FC32BC">
      <w:pPr>
        <w:pStyle w:val="Titre3"/>
        <w:jc w:val="both"/>
      </w:pPr>
      <w:bookmarkStart w:id="23" w:name="_Toc221173012"/>
      <w:r>
        <w:t>VII. Nouveaux Défis et Perspectives Stratégiques 2026</w:t>
      </w:r>
      <w:bookmarkEnd w:id="23"/>
    </w:p>
    <w:p w:rsidR="00FC32BC" w:rsidRDefault="00FC32BC" w:rsidP="00FC32BC">
      <w:pPr>
        <w:pStyle w:val="NormalWeb"/>
        <w:jc w:val="both"/>
      </w:pPr>
      <w:r>
        <w:t>Face à l'évolution des menaces sécuritaires et sociétales, l'ALUCOVIS-APDD élargit son champ d'action pour 2026 autour de cinq piliers innovants :</w:t>
      </w:r>
    </w:p>
    <w:p w:rsidR="00FC32BC" w:rsidRDefault="00FC32BC" w:rsidP="00FC32BC">
      <w:pPr>
        <w:pStyle w:val="Titre4"/>
        <w:jc w:val="both"/>
      </w:pPr>
      <w:bookmarkStart w:id="24" w:name="_Toc221173013"/>
      <w:r>
        <w:t>VII.1. Justice Juvénile et Plaidoyer Sécuritaire</w:t>
      </w:r>
      <w:bookmarkEnd w:id="24"/>
    </w:p>
    <w:p w:rsidR="00FC32BC" w:rsidRDefault="00FC32BC" w:rsidP="00FC32BC">
      <w:pPr>
        <w:pStyle w:val="NormalWeb"/>
        <w:numPr>
          <w:ilvl w:val="0"/>
          <w:numId w:val="10"/>
        </w:numPr>
        <w:jc w:val="both"/>
      </w:pPr>
      <w:r>
        <w:rPr>
          <w:rStyle w:val="lev"/>
        </w:rPr>
        <w:t>Enfants en conflit avec la loi :</w:t>
      </w:r>
      <w:r>
        <w:t xml:space="preserve"> L'association s'engage à renforcer le plaidoyer auprès de la </w:t>
      </w:r>
      <w:r>
        <w:rPr>
          <w:rStyle w:val="lev"/>
        </w:rPr>
        <w:t>Brigade Anti-Crime</w:t>
      </w:r>
      <w:r>
        <w:t xml:space="preserve"> pour garantir que les mineurs impliqués dans des contextes insurrectionnels bénéficient d'un traitement judiciaire respectueux des droits de l'enfant. Il s'agit de passer d'une logique de répression à une logique de réinsertion et de protection contre l'enrôlement.</w:t>
      </w:r>
    </w:p>
    <w:p w:rsidR="00FC32BC" w:rsidRDefault="00FC32BC" w:rsidP="00FC32BC">
      <w:pPr>
        <w:pStyle w:val="NormalWeb"/>
        <w:numPr>
          <w:ilvl w:val="0"/>
          <w:numId w:val="10"/>
        </w:numPr>
        <w:jc w:val="both"/>
      </w:pPr>
      <w:r>
        <w:rPr>
          <w:rStyle w:val="lev"/>
        </w:rPr>
        <w:t>Violence Numérique :</w:t>
      </w:r>
      <w:r>
        <w:t xml:space="preserve"> L'émergence de la cyber-violence et des discours de haine en ligne nécessite une nouvelle forme de monitoring. L'ALUCOVIS-APDD développera des outils de veille pour protéger les jeunes et les femmes contre les harcèlements et les manipulations insurrectionnelles sur les plateformes digitales.</w:t>
      </w:r>
    </w:p>
    <w:p w:rsidR="00FC32BC" w:rsidRDefault="00FC32BC" w:rsidP="00FC32BC">
      <w:pPr>
        <w:pStyle w:val="Titre4"/>
        <w:jc w:val="both"/>
      </w:pPr>
      <w:bookmarkStart w:id="25" w:name="_Toc221173014"/>
      <w:r>
        <w:t>VII.2. Consolidation de la Paix par la Masculinité Positive</w:t>
      </w:r>
      <w:bookmarkEnd w:id="25"/>
    </w:p>
    <w:p w:rsidR="00FC32BC" w:rsidRDefault="00FC32BC" w:rsidP="00FC32BC">
      <w:pPr>
        <w:pStyle w:val="NormalWeb"/>
        <w:jc w:val="both"/>
      </w:pPr>
      <w:r>
        <w:t xml:space="preserve">L'inclusion genre ne peut se faire sans l'implication des hommes. Nous promouvons la </w:t>
      </w:r>
      <w:r>
        <w:rPr>
          <w:rStyle w:val="lev"/>
        </w:rPr>
        <w:t>masculinité positive</w:t>
      </w:r>
      <w:r>
        <w:t xml:space="preserve"> comme outil de déconstruction des stéréotypes violents, transformant les hommes en alliés de la lutte contre les VSBG et en promoteurs de la paix domestique et communautaire.</w:t>
      </w:r>
    </w:p>
    <w:p w:rsidR="00FC32BC" w:rsidRDefault="00FC32BC" w:rsidP="00FC32BC">
      <w:pPr>
        <w:pStyle w:val="Titre4"/>
        <w:jc w:val="both"/>
      </w:pPr>
      <w:bookmarkStart w:id="26" w:name="_Toc221173015"/>
      <w:r>
        <w:t>VII.3. Bureau Sous-Régional d'Études sur la Traite des Personnes</w:t>
      </w:r>
      <w:bookmarkEnd w:id="26"/>
    </w:p>
    <w:p w:rsidR="00FC32BC" w:rsidRDefault="00FC32BC" w:rsidP="00FC32BC">
      <w:pPr>
        <w:pStyle w:val="NormalWeb"/>
        <w:jc w:val="both"/>
      </w:pPr>
      <w:r>
        <w:t xml:space="preserve">Un observatoire spécialisé sera mis en place pour l'analyse des cas de violations graves liés à la </w:t>
      </w:r>
      <w:r>
        <w:rPr>
          <w:rStyle w:val="lev"/>
        </w:rPr>
        <w:t>traite des migrants</w:t>
      </w:r>
      <w:r>
        <w:t>.</w:t>
      </w:r>
    </w:p>
    <w:p w:rsidR="00FC32BC" w:rsidRDefault="00FC32BC" w:rsidP="00FC32BC">
      <w:pPr>
        <w:pStyle w:val="NormalWeb"/>
        <w:numPr>
          <w:ilvl w:val="0"/>
          <w:numId w:val="11"/>
        </w:numPr>
        <w:jc w:val="both"/>
      </w:pPr>
      <w:r>
        <w:rPr>
          <w:rStyle w:val="lev"/>
        </w:rPr>
        <w:t>Focus Arabie Saoudite :</w:t>
      </w:r>
      <w:r>
        <w:t xml:space="preserve"> Une attention particulière sera portée au monitoring des contrats de travail entre le Burundi et le Royaume d'Arabie Saoudite, afin de documenter et dénoncer les abus subis par les travailleurs migrants et d'exiger des protections contractuelles réelles.</w:t>
      </w:r>
    </w:p>
    <w:p w:rsidR="00FC32BC" w:rsidRDefault="00FC32BC" w:rsidP="00FC32BC">
      <w:pPr>
        <w:pStyle w:val="Titre4"/>
        <w:jc w:val="both"/>
      </w:pPr>
      <w:bookmarkStart w:id="27" w:name="_Toc221173016"/>
      <w:r>
        <w:t>VII.4. École de la Démocratie et de la Citoyenneté Responsable</w:t>
      </w:r>
      <w:bookmarkEnd w:id="27"/>
    </w:p>
    <w:p w:rsidR="00FC32BC" w:rsidRDefault="00FC32BC" w:rsidP="00FC32BC">
      <w:pPr>
        <w:pStyle w:val="NormalWeb"/>
        <w:jc w:val="both"/>
      </w:pPr>
      <w:r>
        <w:t>Pour mettre fin aux cycles de crises politiques régionales et environnementales, l'ALUCOVIS-APDD lance ce cadre de concertation et d'innovation :</w:t>
      </w:r>
    </w:p>
    <w:p w:rsidR="00FC32BC" w:rsidRDefault="00FC32BC" w:rsidP="00FC32BC">
      <w:pPr>
        <w:pStyle w:val="NormalWeb"/>
        <w:numPr>
          <w:ilvl w:val="0"/>
          <w:numId w:val="12"/>
        </w:numPr>
        <w:jc w:val="both"/>
      </w:pPr>
      <w:r>
        <w:rPr>
          <w:rStyle w:val="lev"/>
        </w:rPr>
        <w:t>Encadrement des Jeunes et Femmes :</w:t>
      </w:r>
      <w:r>
        <w:t xml:space="preserve"> Formation intensive sur la gestion des crises sous-régionales.</w:t>
      </w:r>
    </w:p>
    <w:p w:rsidR="00FC32BC" w:rsidRDefault="00FC32BC" w:rsidP="00FC32BC">
      <w:pPr>
        <w:pStyle w:val="NormalWeb"/>
        <w:numPr>
          <w:ilvl w:val="0"/>
          <w:numId w:val="12"/>
        </w:numPr>
        <w:jc w:val="both"/>
      </w:pPr>
      <w:r>
        <w:rPr>
          <w:rStyle w:val="lev"/>
        </w:rPr>
        <w:t>Éducation Civique :</w:t>
      </w:r>
      <w:r>
        <w:t xml:space="preserve"> Transformer les communautés en sentinelles de la démocratie pour prévenir les dérives insurrectionnelles et promouvoir une gestion durable de l'environnement comme facteur de paix.</w:t>
      </w:r>
    </w:p>
    <w:p w:rsidR="00FC32BC" w:rsidRDefault="00FC32BC" w:rsidP="00FC32BC">
      <w:pPr>
        <w:pStyle w:val="Titre4"/>
        <w:jc w:val="both"/>
      </w:pPr>
      <w:bookmarkStart w:id="28" w:name="_Toc221173017"/>
      <w:r>
        <w:t>VII.5. Autonomisation et Diplomatie Communautaire</w:t>
      </w:r>
      <w:bookmarkEnd w:id="28"/>
    </w:p>
    <w:p w:rsidR="00FC32BC" w:rsidRDefault="00FC32BC" w:rsidP="00FC32BC">
      <w:pPr>
        <w:pStyle w:val="NormalWeb"/>
        <w:numPr>
          <w:ilvl w:val="0"/>
          <w:numId w:val="13"/>
        </w:numPr>
        <w:jc w:val="both"/>
      </w:pPr>
      <w:r>
        <w:t>Recherche de marchés d'écoulement pour les produits agricoles afin de stabiliser les revenus en BIF.</w:t>
      </w:r>
    </w:p>
    <w:p w:rsidR="00FC32BC" w:rsidRDefault="00FC32BC" w:rsidP="00FC32BC">
      <w:pPr>
        <w:pStyle w:val="NormalWeb"/>
        <w:numPr>
          <w:ilvl w:val="0"/>
          <w:numId w:val="13"/>
        </w:numPr>
        <w:jc w:val="both"/>
      </w:pPr>
      <w:r>
        <w:t>Digitalisation du plaidoyer via l'usage des données (Drones et Cyber-veille) pour influencer les politiques publiques nationales et régionales.</w:t>
      </w:r>
    </w:p>
    <w:p w:rsidR="00FC32BC" w:rsidRPr="00A11372" w:rsidRDefault="00FC32BC" w:rsidP="00FC32B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064C9">
        <w:rPr>
          <w:rFonts w:ascii="Times New Roman" w:eastAsia="Times New Roman" w:hAnsi="Times New Roman" w:cs="Times New Roman"/>
          <w:b/>
          <w:color w:val="C00000"/>
          <w:sz w:val="24"/>
          <w:szCs w:val="24"/>
          <w:lang w:eastAsia="fr-FR"/>
        </w:rPr>
        <w:t>Comme synthèse :</w:t>
      </w:r>
      <w:r w:rsidRPr="00F064C9">
        <w:rPr>
          <w:rFonts w:ascii="Times New Roman" w:eastAsia="Times New Roman" w:hAnsi="Times New Roman" w:cs="Times New Roman"/>
          <w:color w:val="C00000"/>
          <w:sz w:val="24"/>
          <w:szCs w:val="24"/>
          <w:lang w:eastAsia="fr-FR"/>
        </w:rPr>
        <w:t xml:space="preserve"> </w:t>
      </w:r>
      <w:r>
        <w:rPr>
          <w:rFonts w:ascii="Times New Roman" w:eastAsia="Times New Roman" w:hAnsi="Times New Roman" w:cs="Times New Roman"/>
          <w:sz w:val="24"/>
          <w:szCs w:val="24"/>
          <w:lang w:eastAsia="fr-FR"/>
        </w:rPr>
        <w:t>f</w:t>
      </w:r>
      <w:r w:rsidRPr="00A11372">
        <w:rPr>
          <w:rFonts w:ascii="Times New Roman" w:eastAsia="Times New Roman" w:hAnsi="Times New Roman" w:cs="Times New Roman"/>
          <w:sz w:val="24"/>
          <w:szCs w:val="24"/>
          <w:lang w:eastAsia="fr-FR"/>
        </w:rPr>
        <w:t>ace à l'évolution des menaces sécuritaires, numériques et migratoires, l'ALUCOVIS-APDD élargit son action :</w:t>
      </w:r>
    </w:p>
    <w:p w:rsidR="00FC32BC" w:rsidRPr="00A11372" w:rsidRDefault="00FC32BC" w:rsidP="00FC32BC">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11372">
        <w:rPr>
          <w:rFonts w:ascii="Times New Roman" w:eastAsia="Times New Roman" w:hAnsi="Times New Roman" w:cs="Times New Roman"/>
          <w:b/>
          <w:bCs/>
          <w:sz w:val="24"/>
          <w:szCs w:val="24"/>
          <w:lang w:eastAsia="fr-FR"/>
        </w:rPr>
        <w:t>Justice Juvénile et Brigade Anti-Crime :</w:t>
      </w:r>
      <w:r w:rsidRPr="00A11372">
        <w:rPr>
          <w:rFonts w:ascii="Times New Roman" w:eastAsia="Times New Roman" w:hAnsi="Times New Roman" w:cs="Times New Roman"/>
          <w:sz w:val="24"/>
          <w:szCs w:val="24"/>
          <w:lang w:eastAsia="fr-FR"/>
        </w:rPr>
        <w:t xml:space="preserve"> Plaidoyer pour le traitement digne des mineurs en conflit avec la loi dans les contextes insurrectionnels.</w:t>
      </w:r>
    </w:p>
    <w:p w:rsidR="00FC32BC" w:rsidRPr="00A11372" w:rsidRDefault="00FC32BC" w:rsidP="00FC32BC">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11372">
        <w:rPr>
          <w:rFonts w:ascii="Times New Roman" w:eastAsia="Times New Roman" w:hAnsi="Times New Roman" w:cs="Times New Roman"/>
          <w:b/>
          <w:bCs/>
          <w:sz w:val="24"/>
          <w:szCs w:val="24"/>
          <w:lang w:eastAsia="fr-FR"/>
        </w:rPr>
        <w:t>Violence Numérique :</w:t>
      </w:r>
      <w:r w:rsidRPr="00A11372">
        <w:rPr>
          <w:rFonts w:ascii="Times New Roman" w:eastAsia="Times New Roman" w:hAnsi="Times New Roman" w:cs="Times New Roman"/>
          <w:sz w:val="24"/>
          <w:szCs w:val="24"/>
          <w:lang w:eastAsia="fr-FR"/>
        </w:rPr>
        <w:t xml:space="preserve"> Monitoring de la cyber-violence et des discours de haine visant les femmes et les jeunes.</w:t>
      </w:r>
    </w:p>
    <w:p w:rsidR="00FC32BC" w:rsidRPr="00A11372" w:rsidRDefault="00FC32BC" w:rsidP="00FC32BC">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11372">
        <w:rPr>
          <w:rFonts w:ascii="Times New Roman" w:eastAsia="Times New Roman" w:hAnsi="Times New Roman" w:cs="Times New Roman"/>
          <w:b/>
          <w:bCs/>
          <w:sz w:val="24"/>
          <w:szCs w:val="24"/>
          <w:lang w:eastAsia="fr-FR"/>
        </w:rPr>
        <w:t>Bureau Sous-Régional (Focus Arabie Saoudite) :</w:t>
      </w:r>
      <w:r w:rsidRPr="00A11372">
        <w:rPr>
          <w:rFonts w:ascii="Times New Roman" w:eastAsia="Times New Roman" w:hAnsi="Times New Roman" w:cs="Times New Roman"/>
          <w:sz w:val="24"/>
          <w:szCs w:val="24"/>
          <w:lang w:eastAsia="fr-FR"/>
        </w:rPr>
        <w:t xml:space="preserve"> Analyse des contrats de traite des migrants et protection des travailleurs burundais à l'étranger.</w:t>
      </w:r>
    </w:p>
    <w:p w:rsidR="00FC32BC" w:rsidRPr="00A11372" w:rsidRDefault="00FC32BC" w:rsidP="00FC32BC">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11372">
        <w:rPr>
          <w:rFonts w:ascii="Times New Roman" w:eastAsia="Times New Roman" w:hAnsi="Times New Roman" w:cs="Times New Roman"/>
          <w:b/>
          <w:bCs/>
          <w:sz w:val="24"/>
          <w:szCs w:val="24"/>
          <w:lang w:eastAsia="fr-FR"/>
        </w:rPr>
        <w:t>École de la Démocratie et de la Citoyenneté :</w:t>
      </w:r>
      <w:r w:rsidRPr="00A11372">
        <w:rPr>
          <w:rFonts w:ascii="Times New Roman" w:eastAsia="Times New Roman" w:hAnsi="Times New Roman" w:cs="Times New Roman"/>
          <w:sz w:val="24"/>
          <w:szCs w:val="24"/>
          <w:lang w:eastAsia="fr-FR"/>
        </w:rPr>
        <w:t xml:space="preserve"> Encadrement des jeunes et des femmes sur la gestion des crises pour mettre fin aux cycles de violences politiques et environnementales.</w:t>
      </w:r>
    </w:p>
    <w:p w:rsidR="00FC32BC" w:rsidRDefault="00FC32BC" w:rsidP="00FC32BC">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11372">
        <w:rPr>
          <w:rFonts w:ascii="Times New Roman" w:eastAsia="Times New Roman" w:hAnsi="Times New Roman" w:cs="Times New Roman"/>
          <w:b/>
          <w:bCs/>
          <w:sz w:val="24"/>
          <w:szCs w:val="24"/>
          <w:lang w:eastAsia="fr-FR"/>
        </w:rPr>
        <w:t>Masculinité Positive :</w:t>
      </w:r>
      <w:r w:rsidRPr="00A11372">
        <w:rPr>
          <w:rFonts w:ascii="Times New Roman" w:eastAsia="Times New Roman" w:hAnsi="Times New Roman" w:cs="Times New Roman"/>
          <w:sz w:val="24"/>
          <w:szCs w:val="24"/>
          <w:lang w:eastAsia="fr-FR"/>
        </w:rPr>
        <w:t xml:space="preserve"> Intégration des hommes dans la lutte contre les VSBG par le changement de comportement.</w:t>
      </w:r>
    </w:p>
    <w:p w:rsidR="00FC32BC" w:rsidRPr="00E916FD" w:rsidRDefault="00FC32BC" w:rsidP="00FC32BC">
      <w:pPr>
        <w:pStyle w:val="Titre3"/>
        <w:jc w:val="both"/>
        <w:rPr>
          <w:sz w:val="20"/>
          <w:szCs w:val="20"/>
        </w:rPr>
      </w:pPr>
      <w:bookmarkStart w:id="29" w:name="_Toc221044019"/>
      <w:bookmarkStart w:id="30" w:name="_Toc221173018"/>
      <w:r w:rsidRPr="00E916FD">
        <w:rPr>
          <w:noProof/>
          <w:sz w:val="20"/>
          <w:szCs w:val="20"/>
        </w:rPr>
        <w:drawing>
          <wp:inline distT="0" distB="0" distL="0" distR="0" wp14:anchorId="102E1B02" wp14:editId="53CED07A">
            <wp:extent cx="5835650" cy="2752725"/>
            <wp:effectExtent l="0" t="0" r="12700" b="952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9"/>
      <w:bookmarkEnd w:id="30"/>
    </w:p>
    <w:p w:rsidR="00FC32BC" w:rsidRPr="00C550D2" w:rsidRDefault="00FC32BC" w:rsidP="00FC32BC">
      <w:pPr>
        <w:pStyle w:val="Titre3"/>
        <w:jc w:val="both"/>
      </w:pPr>
      <w:bookmarkStart w:id="31" w:name="_Toc221173019"/>
      <w:r w:rsidRPr="00C550D2">
        <w:t>Des annexes Stratégiques :</w:t>
      </w:r>
      <w:bookmarkEnd w:id="31"/>
      <w:r w:rsidRPr="00C550D2">
        <w:t xml:space="preserve"> </w:t>
      </w:r>
    </w:p>
    <w:p w:rsidR="00FC32BC" w:rsidRPr="00CC0812" w:rsidRDefault="00FC32BC" w:rsidP="00FC32BC">
      <w:pPr>
        <w:jc w:val="both"/>
      </w:pPr>
      <w:r>
        <w:rPr>
          <w:noProof/>
          <w:lang w:eastAsia="fr-FR"/>
        </w:rPr>
        <w:drawing>
          <wp:anchor distT="0" distB="0" distL="114300" distR="114300" simplePos="0" relativeHeight="251668480" behindDoc="0" locked="0" layoutInCell="1" allowOverlap="1" wp14:anchorId="4020B8DE" wp14:editId="4260E508">
            <wp:simplePos x="0" y="0"/>
            <wp:positionH relativeFrom="column">
              <wp:posOffset>-594995</wp:posOffset>
            </wp:positionH>
            <wp:positionV relativeFrom="paragraph">
              <wp:posOffset>1646555</wp:posOffset>
            </wp:positionV>
            <wp:extent cx="7010400" cy="2828925"/>
            <wp:effectExtent l="0" t="0" r="0" b="9525"/>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4" o:title=""/>
          </v:shape>
          <o:OLEObject Type="Embed" ProgID="Acrobat.Document.DC" ShapeID="_x0000_i1025" DrawAspect="Icon" ObjectID="_1832406955" r:id="rId25"/>
        </w:object>
      </w:r>
      <w:r>
        <w:object w:dxaOrig="1543" w:dyaOrig="991">
          <v:shape id="_x0000_i1026" type="#_x0000_t75" style="width:75pt;height:49.5pt" o:ole="">
            <v:imagedata r:id="rId26" o:title=""/>
          </v:shape>
          <o:OLEObject Type="Embed" ProgID="Acrobat.Document.DC" ShapeID="_x0000_i1026" DrawAspect="Icon" ObjectID="_1832406956" r:id="rId27"/>
        </w:object>
      </w:r>
      <w:bookmarkStart w:id="32" w:name="_MON_1831528516"/>
      <w:bookmarkEnd w:id="32"/>
      <w:r>
        <w:object w:dxaOrig="1543" w:dyaOrig="991">
          <v:shape id="_x0000_i1027" type="#_x0000_t75" style="width:77.25pt;height:49.5pt" o:ole="">
            <v:imagedata r:id="rId28" o:title=""/>
          </v:shape>
          <o:OLEObject Type="Embed" ProgID="Word.Document.12" ShapeID="_x0000_i1027" DrawAspect="Icon" ObjectID="_1832406957" r:id="rId29">
            <o:FieldCodes>\s</o:FieldCodes>
          </o:OLEObject>
        </w:object>
      </w:r>
      <w:r>
        <w:object w:dxaOrig="1543" w:dyaOrig="991">
          <v:shape id="_x0000_i1028" type="#_x0000_t75" style="width:77.25pt;height:49.5pt" o:ole="">
            <v:imagedata r:id="rId30" o:title=""/>
          </v:shape>
          <o:OLEObject Type="Embed" ProgID="Acrobat.Document.DC" ShapeID="_x0000_i1028" DrawAspect="Icon" ObjectID="_1832406958" r:id="rId31"/>
        </w:object>
      </w:r>
      <w:r>
        <w:object w:dxaOrig="1543" w:dyaOrig="991">
          <v:shape id="_x0000_i1029" type="#_x0000_t75" style="width:77.25pt;height:49.5pt" o:ole="">
            <v:imagedata r:id="rId32" o:title=""/>
          </v:shape>
          <o:OLEObject Type="Embed" ProgID="Acrobat.Document.DC" ShapeID="_x0000_i1029" DrawAspect="Icon" ObjectID="_1832406959" r:id="rId33"/>
        </w:object>
      </w:r>
      <w:r>
        <w:t xml:space="preserve">  </w:t>
      </w:r>
      <w:r>
        <w:object w:dxaOrig="1543" w:dyaOrig="991">
          <v:shape id="_x0000_i1030" type="#_x0000_t75" style="width:77.25pt;height:49.5pt" o:ole="">
            <v:imagedata r:id="rId34" o:title=""/>
          </v:shape>
          <o:OLEObject Type="Embed" ProgID="Acrobat.Document.DC" ShapeID="_x0000_i1030" DrawAspect="Icon" ObjectID="_1832406960" r:id="rId35"/>
        </w:object>
      </w:r>
      <w:r w:rsidRPr="00C84805">
        <w:rPr>
          <w:rFonts w:ascii="Century Gothic" w:hAnsi="Century Gothic"/>
          <w:sz w:val="20"/>
        </w:rPr>
        <w:t xml:space="preserve">Suivez l’arrivée </w:t>
      </w:r>
      <w:r>
        <w:rPr>
          <w:rFonts w:ascii="Century Gothic" w:hAnsi="Century Gothic"/>
          <w:sz w:val="20"/>
        </w:rPr>
        <w:t xml:space="preserve">dès </w:t>
      </w:r>
      <w:r w:rsidRPr="00C84805">
        <w:rPr>
          <w:rFonts w:ascii="Century Gothic" w:hAnsi="Century Gothic"/>
          <w:sz w:val="20"/>
        </w:rPr>
        <w:t>l’installation d</w:t>
      </w:r>
      <w:r>
        <w:rPr>
          <w:rFonts w:ascii="Century Gothic" w:hAnsi="Century Gothic"/>
          <w:sz w:val="20"/>
        </w:rPr>
        <w:t>es réfugiés Congolais a</w:t>
      </w:r>
      <w:r w:rsidRPr="00C84805">
        <w:rPr>
          <w:rFonts w:ascii="Century Gothic" w:hAnsi="Century Gothic"/>
          <w:sz w:val="20"/>
        </w:rPr>
        <w:t>u Site de transite de KANSEGA à Buganda</w:t>
      </w:r>
      <w:r>
        <w:rPr>
          <w:rFonts w:ascii="Century Gothic" w:hAnsi="Century Gothic"/>
          <w:sz w:val="20"/>
        </w:rPr>
        <w:t xml:space="preserve"> par ALUCOVIS-APDD</w:t>
      </w:r>
      <w:r w:rsidRPr="00C84805">
        <w:rPr>
          <w:rFonts w:ascii="Century Gothic" w:hAnsi="Century Gothic"/>
          <w:sz w:val="20"/>
        </w:rPr>
        <w:t xml:space="preserve"> : </w:t>
      </w:r>
      <w:hyperlink r:id="rId36" w:history="1">
        <w:r w:rsidRPr="00C84805">
          <w:rPr>
            <w:rStyle w:val="Lienhypertexte"/>
            <w:rFonts w:ascii="Century Gothic" w:hAnsi="Century Gothic"/>
            <w:sz w:val="20"/>
          </w:rPr>
          <w:t>https://gakonews.blogspot.com/2025/12/lalucovis-apdd-appelle-l-integrite.html</w:t>
        </w:r>
      </w:hyperlink>
      <w:r>
        <w:t xml:space="preserve"> </w:t>
      </w:r>
    </w:p>
    <w:p w:rsidR="00FC32BC" w:rsidRPr="00BE31B7" w:rsidRDefault="00FC32BC" w:rsidP="00FC32BC">
      <w:pPr>
        <w:pStyle w:val="Titre3"/>
        <w:jc w:val="both"/>
        <w:rPr>
          <w:color w:val="00B0F0"/>
          <w:sz w:val="24"/>
          <w:szCs w:val="22"/>
        </w:rPr>
      </w:pPr>
      <w:r w:rsidRPr="00BE31B7">
        <w:rPr>
          <w:color w:val="00B0F0"/>
          <w:sz w:val="24"/>
          <w:szCs w:val="22"/>
        </w:rPr>
        <w:t xml:space="preserve"> </w:t>
      </w:r>
      <w:bookmarkStart w:id="33" w:name="_Toc221173020"/>
      <w:r w:rsidRPr="00BE31B7">
        <w:rPr>
          <w:color w:val="00B0F0"/>
          <w:sz w:val="24"/>
          <w:szCs w:val="22"/>
        </w:rPr>
        <w:t>VIII. Recommandations Stratégiques</w:t>
      </w:r>
      <w:bookmarkEnd w:id="33"/>
    </w:p>
    <w:p w:rsidR="00FC32BC" w:rsidRPr="00C550D2" w:rsidRDefault="00FC32BC" w:rsidP="00FC32BC">
      <w:pPr>
        <w:pStyle w:val="NormalWeb"/>
        <w:jc w:val="both"/>
        <w:rPr>
          <w:sz w:val="22"/>
          <w:szCs w:val="22"/>
        </w:rPr>
      </w:pPr>
      <w:r w:rsidRPr="00C550D2">
        <w:rPr>
          <w:sz w:val="22"/>
          <w:szCs w:val="22"/>
        </w:rPr>
        <w:t>L’ALUCOVIS-APDD émet les recommandations suivantes pour garantir la pérennité des actions de développement et de protection :</w:t>
      </w:r>
    </w:p>
    <w:p w:rsidR="00FC32BC" w:rsidRPr="00C550D2" w:rsidRDefault="00FC32BC" w:rsidP="00FC32BC">
      <w:pPr>
        <w:pStyle w:val="Titre4"/>
        <w:jc w:val="both"/>
        <w:rPr>
          <w:sz w:val="22"/>
          <w:szCs w:val="22"/>
        </w:rPr>
      </w:pPr>
      <w:bookmarkStart w:id="34" w:name="_Toc221173021"/>
      <w:r w:rsidRPr="00C550D2">
        <w:rPr>
          <w:sz w:val="22"/>
          <w:szCs w:val="22"/>
        </w:rPr>
        <w:t>A. Au Gouvernement Burundais</w:t>
      </w:r>
      <w:bookmarkEnd w:id="34"/>
    </w:p>
    <w:p w:rsidR="00FC32BC" w:rsidRPr="00C550D2" w:rsidRDefault="00FC32BC" w:rsidP="00FC32BC">
      <w:pPr>
        <w:pStyle w:val="NormalWeb"/>
        <w:numPr>
          <w:ilvl w:val="0"/>
          <w:numId w:val="18"/>
        </w:numPr>
        <w:jc w:val="both"/>
        <w:rPr>
          <w:sz w:val="22"/>
          <w:szCs w:val="22"/>
        </w:rPr>
      </w:pPr>
      <w:r w:rsidRPr="00C550D2">
        <w:rPr>
          <w:rStyle w:val="lev"/>
          <w:sz w:val="22"/>
          <w:szCs w:val="22"/>
        </w:rPr>
        <w:t>Sécurisation Agricole :</w:t>
      </w:r>
      <w:r w:rsidRPr="00C550D2">
        <w:rPr>
          <w:sz w:val="22"/>
          <w:szCs w:val="22"/>
        </w:rPr>
        <w:t xml:space="preserve"> Assurer la disponibilité et la distribution à temps des intrants agricoles (engrais FOMI) pour éviter la faillite des petits producteurs et l'endettement des ménages.</w:t>
      </w:r>
    </w:p>
    <w:p w:rsidR="00FC32BC" w:rsidRPr="00C550D2" w:rsidRDefault="00FC32BC" w:rsidP="00FC32BC">
      <w:pPr>
        <w:pStyle w:val="NormalWeb"/>
        <w:numPr>
          <w:ilvl w:val="0"/>
          <w:numId w:val="18"/>
        </w:numPr>
        <w:jc w:val="both"/>
        <w:rPr>
          <w:sz w:val="22"/>
          <w:szCs w:val="22"/>
        </w:rPr>
      </w:pPr>
      <w:r w:rsidRPr="00C550D2">
        <w:rPr>
          <w:rStyle w:val="lev"/>
          <w:sz w:val="22"/>
          <w:szCs w:val="22"/>
        </w:rPr>
        <w:t>Régulation Minière :</w:t>
      </w:r>
      <w:r w:rsidRPr="00C550D2">
        <w:rPr>
          <w:sz w:val="22"/>
          <w:szCs w:val="22"/>
        </w:rPr>
        <w:t xml:space="preserve"> Sécuriser les sites d'orpaillage et renforcer l'inspection des carrières pour mettre fin aux pertes de vies humaines par éboulement.</w:t>
      </w:r>
    </w:p>
    <w:p w:rsidR="00FC32BC" w:rsidRPr="00C550D2" w:rsidRDefault="00FC32BC" w:rsidP="00FC32BC">
      <w:pPr>
        <w:pStyle w:val="NormalWeb"/>
        <w:numPr>
          <w:ilvl w:val="0"/>
          <w:numId w:val="18"/>
        </w:numPr>
        <w:jc w:val="both"/>
        <w:rPr>
          <w:sz w:val="22"/>
          <w:szCs w:val="22"/>
        </w:rPr>
      </w:pPr>
      <w:r w:rsidRPr="00C550D2">
        <w:rPr>
          <w:rStyle w:val="lev"/>
          <w:sz w:val="22"/>
          <w:szCs w:val="22"/>
        </w:rPr>
        <w:t>Infrastructures :</w:t>
      </w:r>
      <w:r w:rsidRPr="00C550D2">
        <w:rPr>
          <w:sz w:val="22"/>
          <w:szCs w:val="22"/>
        </w:rPr>
        <w:t xml:space="preserve"> Faciliter l'extension du réseau électrique (REGIDESO) en milieu rural pour stimuler l'entrepreneuriat des jeunes et des femmes.</w:t>
      </w:r>
    </w:p>
    <w:p w:rsidR="00FC32BC" w:rsidRPr="00C550D2" w:rsidRDefault="00FC32BC" w:rsidP="00FC32BC">
      <w:pPr>
        <w:pStyle w:val="NormalWeb"/>
        <w:numPr>
          <w:ilvl w:val="0"/>
          <w:numId w:val="18"/>
        </w:numPr>
        <w:jc w:val="both"/>
        <w:rPr>
          <w:sz w:val="22"/>
          <w:szCs w:val="22"/>
        </w:rPr>
      </w:pPr>
      <w:r w:rsidRPr="00C550D2">
        <w:rPr>
          <w:rStyle w:val="lev"/>
          <w:sz w:val="22"/>
          <w:szCs w:val="22"/>
        </w:rPr>
        <w:t xml:space="preserve">Transports et déplacement : </w:t>
      </w:r>
      <w:r w:rsidRPr="00C550D2">
        <w:rPr>
          <w:rStyle w:val="lev"/>
          <w:b w:val="0"/>
          <w:sz w:val="22"/>
          <w:szCs w:val="22"/>
        </w:rPr>
        <w:t>traquer les corrupteurs de carburants et positionner d’hommes d’affaires en esprit de citoyenneté responsable.</w:t>
      </w:r>
    </w:p>
    <w:p w:rsidR="00FC32BC" w:rsidRPr="00C550D2" w:rsidRDefault="00FC32BC" w:rsidP="00FC32BC">
      <w:pPr>
        <w:pStyle w:val="NormalWeb"/>
        <w:numPr>
          <w:ilvl w:val="0"/>
          <w:numId w:val="18"/>
        </w:numPr>
        <w:jc w:val="both"/>
        <w:rPr>
          <w:sz w:val="22"/>
          <w:szCs w:val="22"/>
        </w:rPr>
      </w:pPr>
      <w:r w:rsidRPr="00C550D2">
        <w:rPr>
          <w:rStyle w:val="lev"/>
          <w:sz w:val="22"/>
          <w:szCs w:val="22"/>
        </w:rPr>
        <w:t>Protection Judiciaire :</w:t>
      </w:r>
      <w:r w:rsidRPr="00C550D2">
        <w:rPr>
          <w:sz w:val="22"/>
          <w:szCs w:val="22"/>
        </w:rPr>
        <w:t xml:space="preserve"> Renforcer la lutte contre la corruption dans le traitement des dossiers de viol et de spoliation foncière.</w:t>
      </w:r>
    </w:p>
    <w:p w:rsidR="00FC32BC" w:rsidRPr="00C550D2" w:rsidRDefault="00FC32BC" w:rsidP="00FC32BC">
      <w:pPr>
        <w:pStyle w:val="NormalWeb"/>
        <w:numPr>
          <w:ilvl w:val="0"/>
          <w:numId w:val="18"/>
        </w:numPr>
        <w:jc w:val="both"/>
        <w:rPr>
          <w:sz w:val="22"/>
          <w:szCs w:val="22"/>
        </w:rPr>
      </w:pPr>
      <w:r w:rsidRPr="00C550D2">
        <w:rPr>
          <w:rStyle w:val="lev"/>
          <w:sz w:val="22"/>
          <w:szCs w:val="22"/>
        </w:rPr>
        <w:t>Sécurité de zones transfrontalières :</w:t>
      </w:r>
      <w:r w:rsidRPr="00C550D2">
        <w:rPr>
          <w:sz w:val="22"/>
          <w:szCs w:val="22"/>
        </w:rPr>
        <w:t xml:space="preserve"> s’engager à respecter et par redynamisation de quatre (4) piliers pour garantir « paix et sécurité » nationale. </w:t>
      </w:r>
    </w:p>
    <w:p w:rsidR="00FC32BC" w:rsidRPr="00C550D2" w:rsidRDefault="00FC32BC" w:rsidP="00FC32BC">
      <w:pPr>
        <w:pStyle w:val="Titre4"/>
        <w:jc w:val="both"/>
        <w:rPr>
          <w:sz w:val="22"/>
          <w:szCs w:val="22"/>
        </w:rPr>
      </w:pPr>
      <w:bookmarkStart w:id="35" w:name="_Toc221173022"/>
      <w:r w:rsidRPr="00C550D2">
        <w:rPr>
          <w:sz w:val="22"/>
          <w:szCs w:val="22"/>
        </w:rPr>
        <w:t>B. Aux Organisations de la Société Civile (OSC)</w:t>
      </w:r>
      <w:bookmarkEnd w:id="35"/>
    </w:p>
    <w:p w:rsidR="00FC32BC" w:rsidRPr="00C550D2" w:rsidRDefault="00FC32BC" w:rsidP="00FC32BC">
      <w:pPr>
        <w:pStyle w:val="NormalWeb"/>
        <w:numPr>
          <w:ilvl w:val="0"/>
          <w:numId w:val="19"/>
        </w:numPr>
        <w:jc w:val="both"/>
        <w:rPr>
          <w:sz w:val="22"/>
          <w:szCs w:val="22"/>
        </w:rPr>
      </w:pPr>
      <w:r w:rsidRPr="00C550D2">
        <w:rPr>
          <w:rStyle w:val="lev"/>
          <w:sz w:val="22"/>
          <w:szCs w:val="22"/>
        </w:rPr>
        <w:t>Synergie d'Action :</w:t>
      </w:r>
      <w:r w:rsidRPr="00C550D2">
        <w:rPr>
          <w:sz w:val="22"/>
          <w:szCs w:val="22"/>
        </w:rPr>
        <w:t xml:space="preserve"> Mutualiser les efforts de plaidoyer sous forme de réseautage pour influencer les politiques publiques de résilience climatique.</w:t>
      </w:r>
    </w:p>
    <w:p w:rsidR="00FC32BC" w:rsidRPr="00C550D2" w:rsidRDefault="00FC32BC" w:rsidP="00FC32BC">
      <w:pPr>
        <w:pStyle w:val="NormalWeb"/>
        <w:numPr>
          <w:ilvl w:val="0"/>
          <w:numId w:val="19"/>
        </w:numPr>
        <w:jc w:val="both"/>
        <w:rPr>
          <w:sz w:val="22"/>
          <w:szCs w:val="22"/>
        </w:rPr>
      </w:pPr>
      <w:r w:rsidRPr="00C550D2">
        <w:rPr>
          <w:rStyle w:val="lev"/>
          <w:sz w:val="22"/>
          <w:szCs w:val="22"/>
        </w:rPr>
        <w:t>Veille Numérique :</w:t>
      </w:r>
      <w:r w:rsidRPr="00C550D2">
        <w:rPr>
          <w:sz w:val="22"/>
          <w:szCs w:val="22"/>
        </w:rPr>
        <w:t xml:space="preserve"> Développer des programmes d'éducation aux médias pour contrer la manipulation des jeunes sur les réseaux sociaux.</w:t>
      </w:r>
    </w:p>
    <w:p w:rsidR="00FC32BC" w:rsidRPr="00C550D2" w:rsidRDefault="00FC32BC" w:rsidP="00FC32BC">
      <w:pPr>
        <w:pStyle w:val="NormalWeb"/>
        <w:numPr>
          <w:ilvl w:val="0"/>
          <w:numId w:val="19"/>
        </w:numPr>
        <w:jc w:val="both"/>
        <w:rPr>
          <w:sz w:val="22"/>
          <w:szCs w:val="22"/>
        </w:rPr>
      </w:pPr>
      <w:r w:rsidRPr="00C550D2">
        <w:rPr>
          <w:rStyle w:val="lev"/>
          <w:sz w:val="22"/>
          <w:szCs w:val="22"/>
        </w:rPr>
        <w:t>Inclusion :</w:t>
      </w:r>
      <w:r w:rsidRPr="00C550D2">
        <w:rPr>
          <w:sz w:val="22"/>
          <w:szCs w:val="22"/>
        </w:rPr>
        <w:t xml:space="preserve"> Adopter l'approche de la masculinité positive dans tous les programmes de lutte contre les violences basées sur le genre.</w:t>
      </w:r>
    </w:p>
    <w:p w:rsidR="00FC32BC" w:rsidRPr="00C550D2" w:rsidRDefault="00FC32BC" w:rsidP="00FC32BC">
      <w:pPr>
        <w:pStyle w:val="Titre4"/>
        <w:jc w:val="both"/>
        <w:rPr>
          <w:sz w:val="22"/>
          <w:szCs w:val="22"/>
        </w:rPr>
      </w:pPr>
      <w:bookmarkStart w:id="36" w:name="_Toc221173023"/>
      <w:r w:rsidRPr="00C550D2">
        <w:rPr>
          <w:sz w:val="22"/>
          <w:szCs w:val="22"/>
        </w:rPr>
        <w:t>C. À la Communauté Internationale et aux ONG Onusiennes</w:t>
      </w:r>
      <w:bookmarkEnd w:id="36"/>
    </w:p>
    <w:p w:rsidR="00FC32BC" w:rsidRPr="00C550D2" w:rsidRDefault="00FC32BC" w:rsidP="00FC32BC">
      <w:pPr>
        <w:pStyle w:val="NormalWeb"/>
        <w:numPr>
          <w:ilvl w:val="0"/>
          <w:numId w:val="20"/>
        </w:numPr>
        <w:jc w:val="both"/>
        <w:rPr>
          <w:sz w:val="22"/>
          <w:szCs w:val="22"/>
        </w:rPr>
      </w:pPr>
      <w:r w:rsidRPr="00C550D2">
        <w:rPr>
          <w:rStyle w:val="lev"/>
          <w:sz w:val="22"/>
          <w:szCs w:val="22"/>
        </w:rPr>
        <w:t>Appui Budgétaire :</w:t>
      </w:r>
      <w:r w:rsidRPr="00C550D2">
        <w:rPr>
          <w:sz w:val="22"/>
          <w:szCs w:val="22"/>
        </w:rPr>
        <w:t xml:space="preserve"> Soutenir financièrement l'École de la Démocratie et de la Citoyenneté Responsable pour stabiliser la sous-région.</w:t>
      </w:r>
    </w:p>
    <w:p w:rsidR="00FC32BC" w:rsidRPr="00C550D2" w:rsidRDefault="00FC32BC" w:rsidP="00FC32BC">
      <w:pPr>
        <w:pStyle w:val="NormalWeb"/>
        <w:numPr>
          <w:ilvl w:val="0"/>
          <w:numId w:val="20"/>
        </w:numPr>
        <w:jc w:val="both"/>
        <w:rPr>
          <w:sz w:val="22"/>
          <w:szCs w:val="22"/>
        </w:rPr>
      </w:pPr>
      <w:r w:rsidRPr="00C550D2">
        <w:rPr>
          <w:rStyle w:val="lev"/>
          <w:sz w:val="22"/>
          <w:szCs w:val="22"/>
        </w:rPr>
        <w:t>Monitoring de la Traite :</w:t>
      </w:r>
      <w:r w:rsidRPr="00C550D2">
        <w:rPr>
          <w:sz w:val="22"/>
          <w:szCs w:val="22"/>
        </w:rPr>
        <w:t xml:space="preserve"> Appuyer la mise en place du Bureau sous-régional d'analyse sur la traite des migrants vers les pays du Golfe (notamment l'Arabie Saoudite) pour garantir le respect des droits humains.</w:t>
      </w:r>
    </w:p>
    <w:p w:rsidR="00FC32BC" w:rsidRPr="00C550D2" w:rsidRDefault="00FC32BC" w:rsidP="00FC32BC">
      <w:pPr>
        <w:pStyle w:val="NormalWeb"/>
        <w:numPr>
          <w:ilvl w:val="0"/>
          <w:numId w:val="20"/>
        </w:numPr>
        <w:jc w:val="both"/>
        <w:rPr>
          <w:sz w:val="22"/>
          <w:szCs w:val="22"/>
        </w:rPr>
      </w:pPr>
      <w:r w:rsidRPr="00C550D2">
        <w:rPr>
          <w:rStyle w:val="lev"/>
          <w:sz w:val="22"/>
          <w:szCs w:val="22"/>
        </w:rPr>
        <w:t>Résilience Climatique :</w:t>
      </w:r>
      <w:r w:rsidRPr="00C550D2">
        <w:rPr>
          <w:sz w:val="22"/>
          <w:szCs w:val="22"/>
        </w:rPr>
        <w:t xml:space="preserve"> Débloquer des fonds d'urgence pour la zone de relocalisation de Buganda en Commune Bukinanyana afin de stabiliser le marché alimentaire et l'infrastructure scolaire.</w:t>
      </w:r>
    </w:p>
    <w:p w:rsidR="00FC32BC" w:rsidRPr="00C550D2" w:rsidRDefault="00FC32BC" w:rsidP="00FC32BC">
      <w:pPr>
        <w:pStyle w:val="NormalWeb"/>
        <w:numPr>
          <w:ilvl w:val="0"/>
          <w:numId w:val="20"/>
        </w:numPr>
        <w:jc w:val="both"/>
        <w:rPr>
          <w:sz w:val="22"/>
          <w:szCs w:val="22"/>
        </w:rPr>
      </w:pPr>
      <w:r w:rsidRPr="00C550D2">
        <w:rPr>
          <w:rStyle w:val="lev"/>
          <w:sz w:val="22"/>
          <w:szCs w:val="22"/>
        </w:rPr>
        <w:t>Soutien Technique :</w:t>
      </w:r>
      <w:r w:rsidRPr="00C550D2">
        <w:rPr>
          <w:sz w:val="22"/>
          <w:szCs w:val="22"/>
        </w:rPr>
        <w:t xml:space="preserve"> Faciliter l'accès aux technologies de surveillance (Drones, Big Data) pour la gestion des crises environnementales et foncières.</w:t>
      </w:r>
    </w:p>
    <w:p w:rsidR="00FC32BC" w:rsidRPr="00C550D2" w:rsidRDefault="00FC32BC" w:rsidP="00FC32BC">
      <w:pPr>
        <w:pStyle w:val="Titre3"/>
        <w:jc w:val="both"/>
        <w:rPr>
          <w:sz w:val="22"/>
          <w:szCs w:val="22"/>
        </w:rPr>
      </w:pPr>
      <w:bookmarkStart w:id="37" w:name="_Toc221173024"/>
      <w:r w:rsidRPr="00C550D2">
        <w:rPr>
          <w:sz w:val="22"/>
          <w:szCs w:val="22"/>
        </w:rPr>
        <w:t>IX. Remerciements</w:t>
      </w:r>
      <w:bookmarkEnd w:id="37"/>
    </w:p>
    <w:p w:rsidR="00FC32BC" w:rsidRPr="00C550D2" w:rsidRDefault="00FC32BC" w:rsidP="00FC32BC">
      <w:pPr>
        <w:pStyle w:val="NormalWeb"/>
        <w:jc w:val="both"/>
        <w:rPr>
          <w:sz w:val="22"/>
          <w:szCs w:val="22"/>
        </w:rPr>
      </w:pPr>
      <w:r w:rsidRPr="00C550D2">
        <w:rPr>
          <w:sz w:val="22"/>
          <w:szCs w:val="22"/>
        </w:rPr>
        <w:t>L’ALUCOVIS-APDD tient à exprimer sa profonde gratitude à tous ceux qui ont rendu possible la réalisation de nos missions au cours de cette année complexe.</w:t>
      </w:r>
    </w:p>
    <w:p w:rsidR="00FC32BC" w:rsidRPr="00C550D2" w:rsidRDefault="00FC32BC" w:rsidP="00FC32BC">
      <w:pPr>
        <w:pStyle w:val="NormalWeb"/>
        <w:jc w:val="both"/>
        <w:rPr>
          <w:sz w:val="22"/>
          <w:szCs w:val="22"/>
        </w:rPr>
      </w:pPr>
      <w:r w:rsidRPr="00C550D2">
        <w:rPr>
          <w:sz w:val="22"/>
          <w:szCs w:val="22"/>
        </w:rPr>
        <w:t>Nos remerciements les plus sincères s'adressent :</w:t>
      </w:r>
    </w:p>
    <w:p w:rsidR="00FC32BC" w:rsidRPr="00C550D2" w:rsidRDefault="00FC32BC" w:rsidP="00FC32BC">
      <w:pPr>
        <w:pStyle w:val="NormalWeb"/>
        <w:numPr>
          <w:ilvl w:val="0"/>
          <w:numId w:val="21"/>
        </w:numPr>
        <w:jc w:val="both"/>
        <w:rPr>
          <w:sz w:val="22"/>
          <w:szCs w:val="22"/>
        </w:rPr>
      </w:pPr>
      <w:r w:rsidRPr="00C550D2">
        <w:rPr>
          <w:rStyle w:val="lev"/>
          <w:sz w:val="22"/>
          <w:szCs w:val="22"/>
        </w:rPr>
        <w:t>À nos partenaires techniques et financiers</w:t>
      </w:r>
      <w:r w:rsidRPr="00C550D2">
        <w:rPr>
          <w:sz w:val="22"/>
          <w:szCs w:val="22"/>
        </w:rPr>
        <w:t xml:space="preserve"> (nationaux et internationaux) dont le soutien a permis d'intervenir sur les fronts de l'urgence climatique et de la défense des droits.</w:t>
      </w:r>
    </w:p>
    <w:p w:rsidR="00FC32BC" w:rsidRPr="00C550D2" w:rsidRDefault="00FC32BC" w:rsidP="00FC32BC">
      <w:pPr>
        <w:pStyle w:val="NormalWeb"/>
        <w:numPr>
          <w:ilvl w:val="0"/>
          <w:numId w:val="21"/>
        </w:numPr>
        <w:jc w:val="both"/>
        <w:rPr>
          <w:sz w:val="22"/>
          <w:szCs w:val="22"/>
        </w:rPr>
      </w:pPr>
      <w:r w:rsidRPr="00C550D2">
        <w:rPr>
          <w:rStyle w:val="lev"/>
          <w:sz w:val="22"/>
          <w:szCs w:val="22"/>
        </w:rPr>
        <w:t>Aux autorités administratives et aux forces de l'ordre</w:t>
      </w:r>
      <w:r w:rsidRPr="00C550D2">
        <w:rPr>
          <w:sz w:val="22"/>
          <w:szCs w:val="22"/>
        </w:rPr>
        <w:t xml:space="preserve"> (notamment la Brigade Anti-Crime et corruption) pour leur collaboration dans la protection des citoyens et d’institutions ciblées.</w:t>
      </w:r>
    </w:p>
    <w:p w:rsidR="00FC32BC" w:rsidRPr="00C550D2" w:rsidRDefault="00FC32BC" w:rsidP="00FC32BC">
      <w:pPr>
        <w:pStyle w:val="NormalWeb"/>
        <w:numPr>
          <w:ilvl w:val="0"/>
          <w:numId w:val="21"/>
        </w:numPr>
        <w:jc w:val="both"/>
        <w:rPr>
          <w:sz w:val="22"/>
          <w:szCs w:val="22"/>
        </w:rPr>
      </w:pPr>
      <w:r w:rsidRPr="00C550D2">
        <w:rPr>
          <w:rStyle w:val="lev"/>
          <w:sz w:val="22"/>
          <w:szCs w:val="22"/>
        </w:rPr>
        <w:t>Aux communautés locales, jeunes et femmes</w:t>
      </w:r>
      <w:r>
        <w:rPr>
          <w:sz w:val="22"/>
          <w:szCs w:val="22"/>
        </w:rPr>
        <w:t xml:space="preserve"> </w:t>
      </w:r>
      <w:r w:rsidRPr="002C45A0">
        <w:rPr>
          <w:b/>
          <w:sz w:val="22"/>
          <w:szCs w:val="22"/>
        </w:rPr>
        <w:t>sous</w:t>
      </w:r>
      <w:r w:rsidRPr="00E846A9">
        <w:rPr>
          <w:b/>
          <w:sz w:val="22"/>
          <w:szCs w:val="22"/>
        </w:rPr>
        <w:t xml:space="preserve"> leadership</w:t>
      </w:r>
      <w:r w:rsidRPr="00C550D2">
        <w:rPr>
          <w:b/>
          <w:sz w:val="22"/>
          <w:szCs w:val="22"/>
        </w:rPr>
        <w:t>,</w:t>
      </w:r>
      <w:r w:rsidRPr="00C550D2">
        <w:rPr>
          <w:sz w:val="22"/>
          <w:szCs w:val="22"/>
        </w:rPr>
        <w:t xml:space="preserve"> pour leur résilience et leur engagement dans nos cadres de concertation.</w:t>
      </w:r>
    </w:p>
    <w:p w:rsidR="00FC32BC" w:rsidRPr="00C550D2" w:rsidRDefault="00FC32BC" w:rsidP="00FC32BC">
      <w:pPr>
        <w:pStyle w:val="NormalWeb"/>
        <w:numPr>
          <w:ilvl w:val="0"/>
          <w:numId w:val="21"/>
        </w:numPr>
        <w:jc w:val="both"/>
        <w:rPr>
          <w:sz w:val="22"/>
          <w:szCs w:val="22"/>
        </w:rPr>
      </w:pPr>
      <w:r w:rsidRPr="00C550D2">
        <w:rPr>
          <w:rStyle w:val="lev"/>
          <w:sz w:val="22"/>
          <w:szCs w:val="22"/>
        </w:rPr>
        <w:t>À tous nos lecteurs et sympathisants</w:t>
      </w:r>
      <w:r w:rsidRPr="00C550D2">
        <w:rPr>
          <w:sz w:val="22"/>
          <w:szCs w:val="22"/>
        </w:rPr>
        <w:t xml:space="preserve"> qui nous soutiennent moralement et partagent nos idéaux de paix, de démocratie et de développement durable.</w:t>
      </w:r>
    </w:p>
    <w:p w:rsidR="00FC32BC" w:rsidRPr="00C550D2" w:rsidRDefault="00FC32BC" w:rsidP="00FC32BC">
      <w:pPr>
        <w:pStyle w:val="NormalWeb"/>
        <w:jc w:val="both"/>
        <w:rPr>
          <w:sz w:val="22"/>
          <w:szCs w:val="22"/>
        </w:rPr>
      </w:pPr>
      <w:r w:rsidRPr="00C550D2">
        <w:rPr>
          <w:sz w:val="22"/>
          <w:szCs w:val="22"/>
        </w:rPr>
        <w:t>C'est grâce à votre solidarité que nous continuons à agir pour un Burundi juste, prospère et respectueux de son environnement.</w:t>
      </w:r>
    </w:p>
    <w:p w:rsidR="00FC32BC" w:rsidRPr="00C550D2" w:rsidRDefault="00FC32BC" w:rsidP="001763CE">
      <w:pPr>
        <w:spacing w:after="0" w:line="240" w:lineRule="auto"/>
        <w:jc w:val="right"/>
        <w:rPr>
          <w:rFonts w:ascii="Times New Roman" w:eastAsia="Times New Roman" w:hAnsi="Times New Roman" w:cs="Times New Roman"/>
          <w:lang w:eastAsia="fr-FR"/>
        </w:rPr>
      </w:pPr>
      <w:r w:rsidRPr="00C550D2">
        <w:rPr>
          <w:rFonts w:ascii="Times New Roman" w:eastAsia="Times New Roman" w:hAnsi="Times New Roman" w:cs="Times New Roman"/>
          <w:i/>
          <w:iCs/>
          <w:lang w:eastAsia="fr-FR"/>
        </w:rPr>
        <w:t xml:space="preserve"> Fait à Bujumbura, le 31 Janvier 2026</w:t>
      </w:r>
      <w:r w:rsidRPr="00C550D2">
        <w:rPr>
          <w:rFonts w:ascii="Times New Roman" w:eastAsia="Times New Roman" w:hAnsi="Times New Roman" w:cs="Times New Roman"/>
          <w:lang w:eastAsia="fr-FR"/>
        </w:rPr>
        <w:t xml:space="preserve"> </w:t>
      </w:r>
    </w:p>
    <w:p w:rsidR="00FC32BC" w:rsidRPr="00C550D2" w:rsidRDefault="00FC32BC" w:rsidP="001763CE">
      <w:pPr>
        <w:spacing w:after="0" w:line="240" w:lineRule="auto"/>
        <w:jc w:val="right"/>
        <w:rPr>
          <w:rFonts w:ascii="Times New Roman" w:eastAsia="Times New Roman" w:hAnsi="Times New Roman" w:cs="Times New Roman"/>
          <w:lang w:eastAsia="fr-FR"/>
        </w:rPr>
      </w:pPr>
    </w:p>
    <w:p w:rsidR="00FC32BC" w:rsidRPr="00C550D2" w:rsidRDefault="00FC32BC" w:rsidP="001763CE">
      <w:pPr>
        <w:spacing w:after="0" w:line="240" w:lineRule="auto"/>
        <w:jc w:val="right"/>
        <w:rPr>
          <w:rFonts w:ascii="Times New Roman" w:eastAsia="Times New Roman" w:hAnsi="Times New Roman" w:cs="Times New Roman"/>
          <w:b/>
          <w:bCs/>
          <w:lang w:eastAsia="fr-FR"/>
        </w:rPr>
      </w:pPr>
      <w:r w:rsidRPr="00C550D2">
        <w:rPr>
          <w:rFonts w:ascii="Times New Roman" w:eastAsia="Times New Roman" w:hAnsi="Times New Roman" w:cs="Times New Roman"/>
          <w:b/>
          <w:bCs/>
          <w:lang w:eastAsia="fr-FR"/>
        </w:rPr>
        <w:t xml:space="preserve">La Direction d'ALUCOVIS-APDD, </w:t>
      </w:r>
    </w:p>
    <w:p w:rsidR="00FC32BC" w:rsidRPr="00C550D2" w:rsidRDefault="00FC32BC" w:rsidP="001763CE">
      <w:pPr>
        <w:spacing w:after="0" w:line="240" w:lineRule="auto"/>
        <w:jc w:val="right"/>
        <w:rPr>
          <w:rFonts w:ascii="Times New Roman" w:eastAsia="Times New Roman" w:hAnsi="Times New Roman" w:cs="Times New Roman"/>
          <w:b/>
          <w:bCs/>
          <w:lang w:eastAsia="fr-FR"/>
        </w:rPr>
      </w:pPr>
      <w:r w:rsidRPr="00C550D2">
        <w:rPr>
          <w:rFonts w:ascii="Times New Roman" w:eastAsia="Times New Roman" w:hAnsi="Times New Roman" w:cs="Times New Roman"/>
          <w:b/>
          <w:bCs/>
          <w:lang w:eastAsia="fr-FR"/>
        </w:rPr>
        <w:t>Présentée par Mr Yves RUGONDERA,</w:t>
      </w:r>
    </w:p>
    <w:p w:rsidR="00FC32BC" w:rsidRPr="00C550D2" w:rsidRDefault="00FC32BC" w:rsidP="001763CE">
      <w:pPr>
        <w:spacing w:after="0" w:line="240" w:lineRule="auto"/>
        <w:jc w:val="right"/>
        <w:rPr>
          <w:rFonts w:ascii="Times New Roman" w:eastAsia="Times New Roman" w:hAnsi="Times New Roman" w:cs="Times New Roman"/>
          <w:lang w:eastAsia="fr-FR"/>
        </w:rPr>
      </w:pPr>
      <w:r w:rsidRPr="00C550D2">
        <w:rPr>
          <w:rFonts w:ascii="Times New Roman" w:eastAsia="Times New Roman" w:hAnsi="Times New Roman" w:cs="Times New Roman"/>
          <w:b/>
          <w:bCs/>
          <w:lang w:eastAsia="fr-FR"/>
        </w:rPr>
        <w:t>Directeur Exécutif.</w:t>
      </w:r>
    </w:p>
    <w:p w:rsidR="00FC32BC" w:rsidRDefault="00FC32BC" w:rsidP="00FC32BC">
      <w:pPr>
        <w:jc w:val="both"/>
      </w:pPr>
      <w:r w:rsidRPr="005B5D38">
        <w:rPr>
          <w:rFonts w:ascii="Century Gothic" w:hAnsi="Century Gothic"/>
          <w:noProof/>
          <w:lang w:eastAsia="fr-FR"/>
        </w:rPr>
        <w:drawing>
          <wp:anchor distT="0" distB="0" distL="114300" distR="114300" simplePos="0" relativeHeight="251664384" behindDoc="0" locked="0" layoutInCell="1" allowOverlap="1" wp14:anchorId="572FD364" wp14:editId="60CD9A8A">
            <wp:simplePos x="0" y="0"/>
            <wp:positionH relativeFrom="column">
              <wp:posOffset>1478915</wp:posOffset>
            </wp:positionH>
            <wp:positionV relativeFrom="paragraph">
              <wp:posOffset>57150</wp:posOffset>
            </wp:positionV>
            <wp:extent cx="4274820" cy="1333500"/>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4820" cy="1333500"/>
                    </a:xfrm>
                    <a:prstGeom prst="rect">
                      <a:avLst/>
                    </a:prstGeom>
                    <a:noFill/>
                    <a:ln>
                      <a:noFill/>
                    </a:ln>
                  </pic:spPr>
                </pic:pic>
              </a:graphicData>
            </a:graphic>
          </wp:anchor>
        </w:drawing>
      </w:r>
    </w:p>
    <w:p w:rsidR="00CC0812" w:rsidRDefault="00CC0812" w:rsidP="00FC32BC">
      <w:pPr>
        <w:jc w:val="both"/>
      </w:pPr>
    </w:p>
    <w:sectPr w:rsidR="00CC0812">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5EF" w:rsidRDefault="00AC35EF" w:rsidP="00DB6B0E">
      <w:pPr>
        <w:spacing w:after="0" w:line="240" w:lineRule="auto"/>
      </w:pPr>
      <w:r>
        <w:separator/>
      </w:r>
    </w:p>
  </w:endnote>
  <w:endnote w:type="continuationSeparator" w:id="0">
    <w:p w:rsidR="00AC35EF" w:rsidRDefault="00AC35EF" w:rsidP="00DB6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97F" w:rsidRDefault="0000597F" w:rsidP="0000597F">
    <w:pPr>
      <w:pStyle w:val="Pieddepage"/>
      <w:jc w:val="center"/>
    </w:pPr>
    <w:hyperlink r:id="rId1" w:history="1">
      <w:r w:rsidRPr="00F10B48">
        <w:rPr>
          <w:rStyle w:val="Lienhypertexte"/>
        </w:rPr>
        <w:t>https://alucovisburundi.org</w:t>
      </w:r>
    </w:hyperlink>
    <w:r>
      <w:t xml:space="preserve"> ou </w:t>
    </w:r>
    <w:hyperlink r:id="rId2" w:history="1">
      <w:r w:rsidRPr="00F10B48">
        <w:rPr>
          <w:rStyle w:val="Lienhypertexte"/>
        </w:rPr>
        <w:t>https://alucovis_apdd_burundi.org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3CE" w:rsidRDefault="001763C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C35EF">
      <w:rPr>
        <w:noProof/>
        <w:color w:val="323E4F" w:themeColor="text2" w:themeShade="BF"/>
        <w:sz w:val="24"/>
        <w:szCs w:val="24"/>
      </w:rPr>
      <w:t>0</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C35EF">
      <w:rPr>
        <w:noProof/>
        <w:color w:val="323E4F" w:themeColor="text2" w:themeShade="BF"/>
        <w:sz w:val="24"/>
        <w:szCs w:val="24"/>
      </w:rPr>
      <w:t>0</w:t>
    </w:r>
    <w:r>
      <w:rPr>
        <w:color w:val="323E4F" w:themeColor="text2" w:themeShade="BF"/>
        <w:sz w:val="24"/>
        <w:szCs w:val="24"/>
      </w:rPr>
      <w:fldChar w:fldCharType="end"/>
    </w:r>
  </w:p>
  <w:p w:rsidR="001763CE" w:rsidRDefault="001763C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5EF" w:rsidRDefault="00AC35EF" w:rsidP="00DB6B0E">
      <w:pPr>
        <w:spacing w:after="0" w:line="240" w:lineRule="auto"/>
      </w:pPr>
      <w:r>
        <w:separator/>
      </w:r>
    </w:p>
  </w:footnote>
  <w:footnote w:type="continuationSeparator" w:id="0">
    <w:p w:rsidR="00AC35EF" w:rsidRDefault="00AC35EF" w:rsidP="00DB6B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2BC" w:rsidRDefault="00FC32BC">
    <w:pPr>
      <w:pStyle w:val="En-tte"/>
      <w:jc w:val="right"/>
      <w:rPr>
        <w:color w:val="8496B0" w:themeColor="text2" w:themeTint="99"/>
        <w:sz w:val="24"/>
        <w:szCs w:val="24"/>
      </w:rPr>
    </w:pPr>
    <w:r>
      <w:rPr>
        <w:noProof/>
        <w:color w:val="8496B0" w:themeColor="text2" w:themeTint="99"/>
        <w:sz w:val="24"/>
        <w:szCs w:val="24"/>
        <w:lang w:eastAsia="fr-FR"/>
      </w:rPr>
      <mc:AlternateContent>
        <mc:Choice Requires="wpg">
          <w:drawing>
            <wp:anchor distT="0" distB="0" distL="114300" distR="114300" simplePos="0" relativeHeight="251661312" behindDoc="0" locked="0" layoutInCell="1" allowOverlap="1" wp14:anchorId="149EC678" wp14:editId="2A309594">
              <wp:simplePos x="0" y="0"/>
              <wp:positionH relativeFrom="rightMargin">
                <wp:align>left</wp:align>
              </wp:positionH>
              <wp:positionV relativeFrom="topMargin">
                <wp:posOffset>284521</wp:posOffset>
              </wp:positionV>
              <wp:extent cx="731520" cy="740664"/>
              <wp:effectExtent l="0" t="0" r="0" b="2540"/>
              <wp:wrapNone/>
              <wp:docPr id="17" name="Groupe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18" name="Forme libre 18"/>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0" name="Forme libre 20"/>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4" name="Zone de texte 24"/>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32BC" w:rsidRDefault="00FC32BC">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9D5239">
                              <w:rPr>
                                <w:noProof/>
                                <w:color w:val="8496B0" w:themeColor="text2" w:themeTint="99"/>
                                <w:sz w:val="24"/>
                                <w:szCs w:val="24"/>
                              </w:rPr>
                              <w:t>5</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EC678" id="Groupe 17" o:spid="_x0000_s1030" style="position:absolute;left:0;text-align:left;margin-left:0;margin-top:22.4pt;width:57.6pt;height:58.3pt;z-index:251661312;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">
              <v:shape id="Forme libre 18" o:spid="_x0000_s1031" style="position:absolute;left:2560;top:121;width:4756;height:4733;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bbMMA&#10;AADbAAAADwAAAGRycy9kb3ducmV2LnhtbESPzW4CMQyE70h9h8iVeoNsOaCybEAUUUqPUFSu1sb7&#10;IzbOKklheXt8qNSbrRnPfC5Wg+vUlUJsPRt4nWSgiEtvW64NnL4/xm+gYkK22HkmA3eKsFo+jQrM&#10;rb/xga7HVCsJ4ZijgSalPtc6lg05jBPfE4tW+eAwyRpqbQPeJNx1epplM+2wZWlosKdNQ+Xl+OsM&#10;7Hpr/XtZfcbz12Y7PQW33c9/jHl5HtYLUImG9G/+u95bwRdY+UUG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UbbMMAAADbAAAADwAAAAAAAAAAAAAAAACYAgAAZHJzL2Rv&#10;d25yZXYueG1sUEsFBgAAAAAEAAQA9QAAAIgDAAAAAA==&#10;" path="m,420r,l416,r4,l,420xe" fillcolor="#8496b0 [1951]" stroked="f">
                <v:path arrowok="t" o:connecttype="custom" o:connectlocs="0,473242;0,473242;471071,0;475601,0;0,473242" o:connectangles="0,0,0,0,0"/>
              </v:shape>
              <v:shape id="Forme libre 20" o:spid="_x0000_s1032" style="position:absolute;left:1341;top:487;width:5956;height:5927;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QQcIA&#10;AADbAAAADwAAAGRycy9kb3ducmV2LnhtbERPz2vCMBS+C/sfwht403QOhnRNxW3IRCasdZfdHs2z&#10;LSYvpYm28683h4HHj+93thqtERfqfetYwdM8AUFcOd1yreDnsJktQfiArNE4JgV/5GGVP0wyTLUb&#10;uKBLGWoRQ9inqKAJoUul9FVDFv3cdcSRO7reYoiwr6XucYjh1shFkrxIiy3HhgY7em+oOpVnq+D3&#10;61u+yet+9zmUH89mfUBTmJ1S08dx/Qoi0Bju4n/3VitYxPX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JBBwgAAANsAAAAPAAAAAAAAAAAAAAAAAJgCAABkcnMvZG93&#10;bnJldi54bWxQSwUGAAAAAAQABAD1AAAAhwMAAAAA&#10;" path="m,526r,l522,r4,4l,526xe" fillcolor="#8496b0 [1951]" stroked="f">
                <v:path arrowok="t" o:connecttype="custom" o:connectlocs="0,592679;0,592679;591104,0;595634,4507;0,592679" o:connectangles="0,0,0,0,0"/>
              </v:shape>
              <v:shape id="Forme libre 21" o:spid="_x0000_s1033" style="position:absolute;left:1463;top:365;width:5854;height:5826;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otMIA&#10;AADbAAAADwAAAGRycy9kb3ducmV2LnhtbESPT4vCMBTE74LfITzBm6YWXKRrlEUU9bL4Fzy+bZ5t&#10;2ealNLHWb28EweMwM79hpvPWlKKh2hWWFYyGEQji1OqCMwWn42owAeE8ssbSMil4kIP5rNuZYqLt&#10;nffUHHwmAoRdggpy76tESpfmZNANbUUcvKutDfog60zqGu8BbkoZR9GXNFhwWMixokVO6f/hZhQs&#10;fpuzvqzjs7w2l3H5t+XxcsdK9XvtzzcIT63/hN/tjVYQj+D1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ii0wgAAANsAAAAPAAAAAAAAAAAAAAAAAJgCAABkcnMvZG93&#10;bnJldi54bWxQSwUGAAAAAAQABAD1AAAAhwMAAAAA&#10;" path="m,517r,-5l513,r4,l,517xe" fillcolor="#8496b0 [1951]" stroked="f">
                <v:path arrowok="t" o:connecttype="custom" o:connectlocs="0,582539;0,576905;580913,0;585443,0;0,582539" o:connectangles="0,0,0,0,0"/>
              </v:shape>
              <v:shape id="Forme libre 22" o:spid="_x0000_s1034" style="position:absolute;left:2072;top:975;width:5220;height:5206;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QMUA&#10;AADbAAAADwAAAGRycy9kb3ducmV2LnhtbESPQWvCQBSE7wX/w/IEL0U3zaGU6CoqFBSktMaLt0f2&#10;mY1m34bsmqT99d1CweMwM98wi9Vga9FR6yvHCl5mCQjiwumKSwWn/H36BsIHZI21Y1LwTR5Wy9HT&#10;AjPtev6i7hhKESHsM1RgQmgyKX1hyKKfuYY4ehfXWgxRtqXULfYRbmuZJsmrtFhxXDDY0NZQcTve&#10;rYLucv6g/Wf+s3k+pIfe8LW5+VypyXhYz0EEGsIj/N/eaQVp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VAxQAAANsAAAAPAAAAAAAAAAAAAAAAAJgCAABkcnMv&#10;ZG93bnJldi54bWxQSwUGAAAAAAQABAD1AAAAigMAAAAA&#10;" path="m,462r,l457,r4,5l,462xe" fillcolor="#8496b0 [1951]" stroked="f">
                <v:path arrowok="t" o:connecttype="custom" o:connectlocs="0,520566;0,520566;517499,0;522029,5634;0,520566" o:connectangles="0,0,0,0,0"/>
              </v:shape>
              <v:shape id="Forme libre 23" o:spid="_x0000_s1035" style="position:absolute;top:365;width:7315;height:7223;visibility:visible;mso-wrap-style:square;v-text-anchor:top" coordsize="6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z6cUA&#10;AADbAAAADwAAAGRycy9kb3ducmV2LnhtbESPzWrDMBCE74W+g9hCb43spJTgRDEhEGhDDvmFHBdr&#10;YzuxVkZSbfftq0Ihx2FmvmHm+WAa0ZHztWUF6SgBQVxYXXOp4HRcv01B+ICssbFMCn7IQ754fppj&#10;pm3Pe+oOoRQRwj5DBVUIbSalLyoy6Ee2JY7e1TqDIUpXSu2wj3DTyHGSfEiDNceFCltaVVTcD99G&#10;wW6TtG4rv/bp5bK53rZyNzm/l0q9vgzLGYhAQ3iE/9ufWsF4A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XPpxQAAANsAAAAPAAAAAAAAAAAAAAAAAJgCAABkcnMv&#10;ZG93bnJldi54bWxQSwUGAAAAAAQABAD1AAAAigM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Zone de texte 24" o:spid="_x0000_s1036" type="#_x0000_t202" style="position:absolute;left:731;top:121;width:356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FC32BC" w:rsidRDefault="00FC32BC">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9D5239">
                        <w:rPr>
                          <w:noProof/>
                          <w:color w:val="8496B0" w:themeColor="text2" w:themeTint="99"/>
                          <w:sz w:val="24"/>
                          <w:szCs w:val="24"/>
                        </w:rPr>
                        <w:t>5</w:t>
                      </w:r>
                      <w:r>
                        <w:rPr>
                          <w:color w:val="8496B0" w:themeColor="text2" w:themeTint="99"/>
                          <w:sz w:val="24"/>
                          <w:szCs w:val="24"/>
                        </w:rPr>
                        <w:fldChar w:fldCharType="end"/>
                      </w:r>
                    </w:p>
                  </w:txbxContent>
                </v:textbox>
              </v:shape>
              <w10:wrap anchorx="margin" anchory="margin"/>
            </v:group>
          </w:pict>
        </mc:Fallback>
      </mc:AlternateContent>
    </w:r>
  </w:p>
  <w:p w:rsidR="00FC32BC" w:rsidRDefault="00FC32B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7B0" w:rsidRPr="005B44ED" w:rsidRDefault="006707B0">
    <w:pPr>
      <w:pStyle w:val="En-tte"/>
      <w:jc w:val="right"/>
      <w:rPr>
        <w:color w:val="8496B0" w:themeColor="text2" w:themeTint="99"/>
        <w:sz w:val="24"/>
        <w:szCs w:val="24"/>
      </w:rPr>
    </w:pPr>
    <w:r w:rsidRPr="005B44ED">
      <w:rPr>
        <w:noProof/>
        <w:color w:val="8496B0" w:themeColor="text2" w:themeTint="99"/>
        <w:sz w:val="24"/>
        <w:szCs w:val="24"/>
        <w:lang w:eastAsia="fr-FR"/>
      </w:rPr>
      <mc:AlternateContent>
        <mc:Choice Requires="wpg">
          <w:drawing>
            <wp:anchor distT="0" distB="0" distL="114300" distR="114300" simplePos="0" relativeHeight="251659264" behindDoc="0" locked="0" layoutInCell="1" allowOverlap="1" wp14:anchorId="387CFDF8" wp14:editId="2E27DB67">
              <wp:simplePos x="0" y="0"/>
              <wp:positionH relativeFrom="rightMargin">
                <wp:align>left</wp:align>
              </wp:positionH>
              <wp:positionV relativeFrom="topMargin">
                <wp:posOffset>284521</wp:posOffset>
              </wp:positionV>
              <wp:extent cx="731520" cy="740664"/>
              <wp:effectExtent l="0" t="0" r="0" b="2540"/>
              <wp:wrapNone/>
              <wp:docPr id="70" name="Groupe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orme libre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orme libre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orme libre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orme libre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orme libre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Zone de texte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7B0" w:rsidRDefault="006707B0">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9D5239">
                              <w:rPr>
                                <w:noProof/>
                                <w:color w:val="8496B0" w:themeColor="text2" w:themeTint="99"/>
                                <w:sz w:val="24"/>
                                <w:szCs w:val="24"/>
                              </w:rPr>
                              <w:t>10</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CFDF8" id="Groupe 70" o:spid="_x0000_s1037"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">
              <v:shape id="Forme libre 71" o:spid="_x0000_s1038" style="position:absolute;left:2560;top:121;width:4756;height:4733;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UcMA&#10;AADbAAAADwAAAGRycy9kb3ducmV2LnhtbESPwW7CMBBE70j9B2srcSMOHCgEDGoRbekRiOC6ipck&#10;Il5Htpukf19XqsRxNDNvNOvtYBrRkfO1ZQXTJAVBXFhdc6kgP79PFiB8QNbYWCYFP+Rhu3karTHT&#10;tucjdadQighhn6GCKoQ2k9IXFRn0iW2Jo3ezzmCI0pVSO+wj3DRylqZzabDmuFBhS7uKivvp2yj4&#10;aLW2b8Xt01+/dvtZ7sz+sLwoNX4eXlcgAg3hEf5vH7SCly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XUcMAAADbAAAADwAAAAAAAAAAAAAAAACYAgAAZHJzL2Rv&#10;d25yZXYueG1sUEsFBgAAAAAEAAQA9QAAAIgDAAAAAA==&#10;" path="m,420r,l416,r4,l,420xe" fillcolor="#8496b0 [1951]" stroked="f">
                <v:path arrowok="t" o:connecttype="custom" o:connectlocs="0,473242;0,473242;471071,0;475601,0;0,473242" o:connectangles="0,0,0,0,0"/>
              </v:shape>
              <v:shape id="Forme libre 72" o:spid="_x0000_s1039" style="position:absolute;left:1341;top:487;width:5956;height:5927;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EsMUA&#10;AADbAAAADwAAAGRycy9kb3ducmV2LnhtbESPQWvCQBSE70L/w/IKvemmFqpEV7FKUUShiV68PbKv&#10;Seju25DdmrS/visIPQ4z8w0zX/bWiCu1vnas4HmUgCAunK65VHA+vQ+nIHxA1mgck4If8rBcPAzm&#10;mGrXcUbXPJQiQtinqKAKoUml9EVFFv3INcTR+3StxRBlW0rdYhfh1shxkrxKizXHhQobWldUfOXf&#10;VsHl8CHf5O9xv+3yzYtZndBkZq/U02O/moEI1If/8L290womY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SwxQAAANsAAAAPAAAAAAAAAAAAAAAAAJgCAABkcnMv&#10;ZG93bnJldi54bWxQSwUGAAAAAAQABAD1AAAAigMAAAAA&#10;" path="m,526r,l522,r4,4l,526xe" fillcolor="#8496b0 [1951]" stroked="f">
                <v:path arrowok="t" o:connecttype="custom" o:connectlocs="0,592679;0,592679;591104,0;595634,4507;0,592679" o:connectangles="0,0,0,0,0"/>
              </v:shape>
              <v:shape id="Forme libre 73" o:spid="_x0000_s1040" style="position:absolute;left:1463;top:365;width:5854;height:5826;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8RcUA&#10;AADbAAAADwAAAGRycy9kb3ducmV2LnhtbESPQWvCQBSE74L/YXmCt2ajJW2JrlKkRXspmlbw+Mw+&#10;k2D2bciuSfrvu4WCx2FmvmGW68HUoqPWVZYVzKIYBHFudcWFgu+v94cXEM4ja6wtk4IfcrBejUdL&#10;TLXt+UBd5gsRIOxSVFB636RSurwkgy6yDXHwLrY16INsC6lb7APc1HIex0/SYMVhocSGNiXl1+xm&#10;FGw+u6M+bedHeelOSX3+4ORtz0pNJ8PrAoSnwd/D/+2dVvD8C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xFxQAAANsAAAAPAAAAAAAAAAAAAAAAAJgCAABkcnMv&#10;ZG93bnJldi54bWxQSwUGAAAAAAQABAD1AAAAigMAAAAA&#10;" path="m,517r,-5l513,r4,l,517xe" fillcolor="#8496b0 [1951]" stroked="f">
                <v:path arrowok="t" o:connecttype="custom" o:connectlocs="0,582539;0,576905;580913,0;585443,0;0,582539" o:connectangles="0,0,0,0,0"/>
              </v:shape>
              <v:shape id="Forme libre 74" o:spid="_x0000_s1041" style="position:absolute;left:2072;top:975;width:5220;height:5206;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3ssUA&#10;AADbAAAADwAAAGRycy9kb3ducmV2LnhtbESPQWvCQBSE7wX/w/KEXkrdKEVL6iqtUGhBRI0Xb4/s&#10;M5uafRuy2yT6612h0OMwM98w82VvK9FS40vHCsajBARx7nTJhYJD9vn8CsIHZI2VY1JwIQ/LxeBh&#10;jql2He+o3YdCRAj7FBWYEOpUSp8bsuhHriaO3sk1FkOUTSF1g12E20pOkmQqLZYcFwzWtDKUn/e/&#10;VkF7Om7oe5tdP57Wk3Vn+Kc++0ypx2H//gYiUB/+w3/tL61g9gL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feyxQAAANsAAAAPAAAAAAAAAAAAAAAAAJgCAABkcnMv&#10;ZG93bnJldi54bWxQSwUGAAAAAAQABAD1AAAAigMAAAAA&#10;" path="m,462r,l457,r4,5l,462xe" fillcolor="#8496b0 [1951]" stroked="f">
                <v:path arrowok="t" o:connecttype="custom" o:connectlocs="0,520566;0,520566;517499,0;522029,5634;0,520566" o:connectangles="0,0,0,0,0"/>
              </v:shape>
              <v:shape id="Forme libre 75" o:spid="_x0000_s1042" style="position:absolute;top:365;width:7315;height:7223;visibility:visible;mso-wrap-style:square;v-text-anchor:top" coordsize="6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hG8UA&#10;AADbAAAADwAAAGRycy9kb3ducmV2LnhtbESPT2sCMRTE74V+h/AK3mpWrbZsN4oIQise1Cp4fGze&#10;/mk3L0uS6vrtjSB4HGbmN0w260wjTuR8bVnBoJ+AIM6trrlUsP9Zvn6A8AFZY2OZFFzIw2z6/JRh&#10;qu2Zt3TahVJECPsUFVQhtKmUPq/IoO/bljh6hXUGQ5SulNrhOcJNI4dJMpEGa44LFba0qCj/2/0b&#10;BZtV0rq1/N4OjsdV8buWm9HhrVSq99LNP0EE6sIjfG9/aQXvY7h9i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2EbxQAAANsAAAAPAAAAAAAAAAAAAAAAAJgCAABkcnMv&#10;ZG93bnJldi54bWxQSwUGAAAAAAQABAD1AAAAigM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Zone de texte 76" o:spid="_x0000_s1043" type="#_x0000_t202" style="position:absolute;left:731;top:121;width:356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6707B0" w:rsidRDefault="006707B0">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9D5239">
                        <w:rPr>
                          <w:noProof/>
                          <w:color w:val="8496B0" w:themeColor="text2" w:themeTint="99"/>
                          <w:sz w:val="24"/>
                          <w:szCs w:val="24"/>
                        </w:rPr>
                        <w:t>10</w:t>
                      </w:r>
                      <w:r>
                        <w:rPr>
                          <w:color w:val="8496B0" w:themeColor="text2" w:themeTint="99"/>
                          <w:sz w:val="24"/>
                          <w:szCs w:val="24"/>
                        </w:rPr>
                        <w:fldChar w:fldCharType="end"/>
                      </w:r>
                    </w:p>
                  </w:txbxContent>
                </v:textbox>
              </v:shape>
              <w10:wrap anchorx="margin" anchory="margin"/>
            </v:group>
          </w:pict>
        </mc:Fallback>
      </mc:AlternateContent>
    </w:r>
  </w:p>
  <w:p w:rsidR="006707B0" w:rsidRDefault="006707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29A"/>
    <w:multiLevelType w:val="multilevel"/>
    <w:tmpl w:val="F060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8701B"/>
    <w:multiLevelType w:val="multilevel"/>
    <w:tmpl w:val="2F60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E6788"/>
    <w:multiLevelType w:val="multilevel"/>
    <w:tmpl w:val="40F2D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164EA8"/>
    <w:multiLevelType w:val="multilevel"/>
    <w:tmpl w:val="ADDE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1B52C5"/>
    <w:multiLevelType w:val="multilevel"/>
    <w:tmpl w:val="1198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F19B0"/>
    <w:multiLevelType w:val="multilevel"/>
    <w:tmpl w:val="6ABE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677EF"/>
    <w:multiLevelType w:val="multilevel"/>
    <w:tmpl w:val="C8A4E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C10022"/>
    <w:multiLevelType w:val="multilevel"/>
    <w:tmpl w:val="8FA4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8A6B1E"/>
    <w:multiLevelType w:val="multilevel"/>
    <w:tmpl w:val="6A06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CB59EF"/>
    <w:multiLevelType w:val="multilevel"/>
    <w:tmpl w:val="C450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0406AC"/>
    <w:multiLevelType w:val="multilevel"/>
    <w:tmpl w:val="6B6C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94D67"/>
    <w:multiLevelType w:val="multilevel"/>
    <w:tmpl w:val="5340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4D18A3"/>
    <w:multiLevelType w:val="multilevel"/>
    <w:tmpl w:val="CCA0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5F29C5"/>
    <w:multiLevelType w:val="hybridMultilevel"/>
    <w:tmpl w:val="64660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112F9E"/>
    <w:multiLevelType w:val="multilevel"/>
    <w:tmpl w:val="1A605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062533"/>
    <w:multiLevelType w:val="multilevel"/>
    <w:tmpl w:val="94C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64C28"/>
    <w:multiLevelType w:val="multilevel"/>
    <w:tmpl w:val="D918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0E05D7"/>
    <w:multiLevelType w:val="multilevel"/>
    <w:tmpl w:val="5402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8638F0"/>
    <w:multiLevelType w:val="multilevel"/>
    <w:tmpl w:val="332A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C75481"/>
    <w:multiLevelType w:val="multilevel"/>
    <w:tmpl w:val="32A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EF224C"/>
    <w:multiLevelType w:val="multilevel"/>
    <w:tmpl w:val="C66C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1A5996"/>
    <w:multiLevelType w:val="multilevel"/>
    <w:tmpl w:val="2618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9A1C05"/>
    <w:multiLevelType w:val="multilevel"/>
    <w:tmpl w:val="5A42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673768"/>
    <w:multiLevelType w:val="multilevel"/>
    <w:tmpl w:val="BC7C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BF3367"/>
    <w:multiLevelType w:val="multilevel"/>
    <w:tmpl w:val="8CE2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4"/>
  </w:num>
  <w:num w:numId="4">
    <w:abstractNumId w:val="8"/>
  </w:num>
  <w:num w:numId="5">
    <w:abstractNumId w:val="7"/>
  </w:num>
  <w:num w:numId="6">
    <w:abstractNumId w:val="23"/>
  </w:num>
  <w:num w:numId="7">
    <w:abstractNumId w:val="22"/>
  </w:num>
  <w:num w:numId="8">
    <w:abstractNumId w:val="17"/>
  </w:num>
  <w:num w:numId="9">
    <w:abstractNumId w:val="21"/>
  </w:num>
  <w:num w:numId="10">
    <w:abstractNumId w:val="10"/>
  </w:num>
  <w:num w:numId="11">
    <w:abstractNumId w:val="19"/>
  </w:num>
  <w:num w:numId="12">
    <w:abstractNumId w:val="24"/>
  </w:num>
  <w:num w:numId="13">
    <w:abstractNumId w:val="16"/>
  </w:num>
  <w:num w:numId="14">
    <w:abstractNumId w:val="9"/>
  </w:num>
  <w:num w:numId="15">
    <w:abstractNumId w:val="11"/>
  </w:num>
  <w:num w:numId="16">
    <w:abstractNumId w:val="12"/>
  </w:num>
  <w:num w:numId="17">
    <w:abstractNumId w:val="2"/>
  </w:num>
  <w:num w:numId="18">
    <w:abstractNumId w:val="1"/>
  </w:num>
  <w:num w:numId="19">
    <w:abstractNumId w:val="18"/>
  </w:num>
  <w:num w:numId="20">
    <w:abstractNumId w:val="15"/>
  </w:num>
  <w:num w:numId="21">
    <w:abstractNumId w:val="20"/>
  </w:num>
  <w:num w:numId="22">
    <w:abstractNumId w:val="5"/>
  </w:num>
  <w:num w:numId="23">
    <w:abstractNumId w:val="6"/>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C16"/>
    <w:rsid w:val="0000597F"/>
    <w:rsid w:val="00014BBD"/>
    <w:rsid w:val="00024A57"/>
    <w:rsid w:val="000270CF"/>
    <w:rsid w:val="000532B5"/>
    <w:rsid w:val="00060F84"/>
    <w:rsid w:val="000A7C97"/>
    <w:rsid w:val="000C3F68"/>
    <w:rsid w:val="000C6396"/>
    <w:rsid w:val="000D78EC"/>
    <w:rsid w:val="000F7637"/>
    <w:rsid w:val="00100254"/>
    <w:rsid w:val="00103F93"/>
    <w:rsid w:val="00123BC4"/>
    <w:rsid w:val="001350FF"/>
    <w:rsid w:val="00140E3E"/>
    <w:rsid w:val="001443F0"/>
    <w:rsid w:val="00145896"/>
    <w:rsid w:val="001746DD"/>
    <w:rsid w:val="00174FB5"/>
    <w:rsid w:val="001763CE"/>
    <w:rsid w:val="001876AC"/>
    <w:rsid w:val="001A143F"/>
    <w:rsid w:val="001B081D"/>
    <w:rsid w:val="001C470B"/>
    <w:rsid w:val="001D0EF0"/>
    <w:rsid w:val="001E5C9C"/>
    <w:rsid w:val="00200E67"/>
    <w:rsid w:val="00202295"/>
    <w:rsid w:val="00223B4B"/>
    <w:rsid w:val="00235958"/>
    <w:rsid w:val="0024590F"/>
    <w:rsid w:val="00251481"/>
    <w:rsid w:val="002624FB"/>
    <w:rsid w:val="00262B01"/>
    <w:rsid w:val="002A6450"/>
    <w:rsid w:val="002B1786"/>
    <w:rsid w:val="002C45A0"/>
    <w:rsid w:val="002D69DE"/>
    <w:rsid w:val="002E51FF"/>
    <w:rsid w:val="002F2256"/>
    <w:rsid w:val="00313DC6"/>
    <w:rsid w:val="003241ED"/>
    <w:rsid w:val="00333D18"/>
    <w:rsid w:val="00335E13"/>
    <w:rsid w:val="00340F5F"/>
    <w:rsid w:val="00343DB9"/>
    <w:rsid w:val="00375180"/>
    <w:rsid w:val="003865B6"/>
    <w:rsid w:val="00390FB6"/>
    <w:rsid w:val="00394A10"/>
    <w:rsid w:val="003A5BEA"/>
    <w:rsid w:val="003A70FE"/>
    <w:rsid w:val="003C3002"/>
    <w:rsid w:val="003C34B0"/>
    <w:rsid w:val="003E652A"/>
    <w:rsid w:val="003F447A"/>
    <w:rsid w:val="00403BB9"/>
    <w:rsid w:val="00423A82"/>
    <w:rsid w:val="0044325A"/>
    <w:rsid w:val="00451812"/>
    <w:rsid w:val="00456D13"/>
    <w:rsid w:val="00474F12"/>
    <w:rsid w:val="00477F30"/>
    <w:rsid w:val="004840FF"/>
    <w:rsid w:val="004A6E74"/>
    <w:rsid w:val="004B59FB"/>
    <w:rsid w:val="0053655F"/>
    <w:rsid w:val="00552DD0"/>
    <w:rsid w:val="00576ABF"/>
    <w:rsid w:val="00594288"/>
    <w:rsid w:val="005B44ED"/>
    <w:rsid w:val="005B777B"/>
    <w:rsid w:val="005C3E66"/>
    <w:rsid w:val="005C59EB"/>
    <w:rsid w:val="005C6776"/>
    <w:rsid w:val="005D32A9"/>
    <w:rsid w:val="005F18F6"/>
    <w:rsid w:val="005F70E5"/>
    <w:rsid w:val="006070D7"/>
    <w:rsid w:val="00634FCC"/>
    <w:rsid w:val="006647F8"/>
    <w:rsid w:val="006707B0"/>
    <w:rsid w:val="006802F6"/>
    <w:rsid w:val="00680A79"/>
    <w:rsid w:val="006A769E"/>
    <w:rsid w:val="006B30BE"/>
    <w:rsid w:val="006B343C"/>
    <w:rsid w:val="006D35AF"/>
    <w:rsid w:val="006F192D"/>
    <w:rsid w:val="0070499E"/>
    <w:rsid w:val="0072353C"/>
    <w:rsid w:val="00746670"/>
    <w:rsid w:val="00753125"/>
    <w:rsid w:val="0075394B"/>
    <w:rsid w:val="0076322A"/>
    <w:rsid w:val="007637FF"/>
    <w:rsid w:val="0078675C"/>
    <w:rsid w:val="007943B4"/>
    <w:rsid w:val="007A63E2"/>
    <w:rsid w:val="007A74A0"/>
    <w:rsid w:val="007B130D"/>
    <w:rsid w:val="007E5CFE"/>
    <w:rsid w:val="007F1C33"/>
    <w:rsid w:val="007F2312"/>
    <w:rsid w:val="007F36A1"/>
    <w:rsid w:val="008124B4"/>
    <w:rsid w:val="0081305E"/>
    <w:rsid w:val="008368BD"/>
    <w:rsid w:val="00882708"/>
    <w:rsid w:val="00883B78"/>
    <w:rsid w:val="008A3B3B"/>
    <w:rsid w:val="008A6D56"/>
    <w:rsid w:val="008B27E5"/>
    <w:rsid w:val="008B7A76"/>
    <w:rsid w:val="008C772B"/>
    <w:rsid w:val="008D371B"/>
    <w:rsid w:val="008F7602"/>
    <w:rsid w:val="00900E66"/>
    <w:rsid w:val="00924153"/>
    <w:rsid w:val="00924DB5"/>
    <w:rsid w:val="00953C02"/>
    <w:rsid w:val="00962819"/>
    <w:rsid w:val="00963CF5"/>
    <w:rsid w:val="009766C1"/>
    <w:rsid w:val="0098083D"/>
    <w:rsid w:val="00991144"/>
    <w:rsid w:val="009D5239"/>
    <w:rsid w:val="009F2912"/>
    <w:rsid w:val="009F7E3F"/>
    <w:rsid w:val="00A11372"/>
    <w:rsid w:val="00A11769"/>
    <w:rsid w:val="00A1577A"/>
    <w:rsid w:val="00A16B03"/>
    <w:rsid w:val="00A17239"/>
    <w:rsid w:val="00A67B4C"/>
    <w:rsid w:val="00A74EC9"/>
    <w:rsid w:val="00A84A96"/>
    <w:rsid w:val="00A94550"/>
    <w:rsid w:val="00A94C90"/>
    <w:rsid w:val="00AA7DB9"/>
    <w:rsid w:val="00AC35EF"/>
    <w:rsid w:val="00AD148B"/>
    <w:rsid w:val="00AD23FC"/>
    <w:rsid w:val="00B04113"/>
    <w:rsid w:val="00B21F53"/>
    <w:rsid w:val="00B2538B"/>
    <w:rsid w:val="00B257E2"/>
    <w:rsid w:val="00B37DCE"/>
    <w:rsid w:val="00B47119"/>
    <w:rsid w:val="00B60FC5"/>
    <w:rsid w:val="00B75B4E"/>
    <w:rsid w:val="00B861EF"/>
    <w:rsid w:val="00BB19EE"/>
    <w:rsid w:val="00BB3947"/>
    <w:rsid w:val="00BB489E"/>
    <w:rsid w:val="00BE31B7"/>
    <w:rsid w:val="00BF084B"/>
    <w:rsid w:val="00BF1F07"/>
    <w:rsid w:val="00BF446D"/>
    <w:rsid w:val="00C25EA6"/>
    <w:rsid w:val="00C32394"/>
    <w:rsid w:val="00C43BE2"/>
    <w:rsid w:val="00C550D2"/>
    <w:rsid w:val="00C55EC2"/>
    <w:rsid w:val="00C774C9"/>
    <w:rsid w:val="00C84805"/>
    <w:rsid w:val="00C863B5"/>
    <w:rsid w:val="00C90689"/>
    <w:rsid w:val="00CC0812"/>
    <w:rsid w:val="00CC3647"/>
    <w:rsid w:val="00CC4BA6"/>
    <w:rsid w:val="00CC4C16"/>
    <w:rsid w:val="00D010FF"/>
    <w:rsid w:val="00D01463"/>
    <w:rsid w:val="00D017DC"/>
    <w:rsid w:val="00D01B19"/>
    <w:rsid w:val="00D2294C"/>
    <w:rsid w:val="00D25E88"/>
    <w:rsid w:val="00D51B3A"/>
    <w:rsid w:val="00DB6B0E"/>
    <w:rsid w:val="00DC0EEC"/>
    <w:rsid w:val="00DC7E31"/>
    <w:rsid w:val="00DC7E5B"/>
    <w:rsid w:val="00DD3235"/>
    <w:rsid w:val="00DD37D7"/>
    <w:rsid w:val="00DD6C4E"/>
    <w:rsid w:val="00DE2436"/>
    <w:rsid w:val="00DF3F95"/>
    <w:rsid w:val="00DF5693"/>
    <w:rsid w:val="00E24E8F"/>
    <w:rsid w:val="00E33A44"/>
    <w:rsid w:val="00E51AA2"/>
    <w:rsid w:val="00E70A89"/>
    <w:rsid w:val="00E74011"/>
    <w:rsid w:val="00E8034C"/>
    <w:rsid w:val="00E846A9"/>
    <w:rsid w:val="00E916FD"/>
    <w:rsid w:val="00E9188D"/>
    <w:rsid w:val="00EE0048"/>
    <w:rsid w:val="00EE7AEC"/>
    <w:rsid w:val="00F064C9"/>
    <w:rsid w:val="00F07428"/>
    <w:rsid w:val="00F10757"/>
    <w:rsid w:val="00F3070E"/>
    <w:rsid w:val="00F405B7"/>
    <w:rsid w:val="00F51E73"/>
    <w:rsid w:val="00F73E69"/>
    <w:rsid w:val="00F80241"/>
    <w:rsid w:val="00F8444E"/>
    <w:rsid w:val="00F86204"/>
    <w:rsid w:val="00FA497B"/>
    <w:rsid w:val="00FB7BAB"/>
    <w:rsid w:val="00FC32BC"/>
    <w:rsid w:val="00FD3E48"/>
    <w:rsid w:val="00FD4A01"/>
    <w:rsid w:val="00FE60C9"/>
    <w:rsid w:val="00FE6C0F"/>
    <w:rsid w:val="00FF0E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0F960-458B-40F9-897D-8F3AB3301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2BC"/>
  </w:style>
  <w:style w:type="paragraph" w:styleId="Titre1">
    <w:name w:val="heading 1"/>
    <w:basedOn w:val="Normal"/>
    <w:link w:val="Titre1Car"/>
    <w:uiPriority w:val="9"/>
    <w:qFormat/>
    <w:rsid w:val="001E5C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E5C9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1E5C9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1E5C9C"/>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4DB5"/>
    <w:pPr>
      <w:ind w:left="720"/>
      <w:contextualSpacing/>
    </w:pPr>
  </w:style>
  <w:style w:type="character" w:customStyle="1" w:styleId="Titre1Car">
    <w:name w:val="Titre 1 Car"/>
    <w:basedOn w:val="Policepardfaut"/>
    <w:link w:val="Titre1"/>
    <w:uiPriority w:val="9"/>
    <w:rsid w:val="001E5C9C"/>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E5C9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1E5C9C"/>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1E5C9C"/>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1E5C9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E5C9C"/>
    <w:rPr>
      <w:b/>
      <w:bCs/>
    </w:rPr>
  </w:style>
  <w:style w:type="character" w:styleId="Accentuation">
    <w:name w:val="Emphasis"/>
    <w:basedOn w:val="Policepardfaut"/>
    <w:uiPriority w:val="20"/>
    <w:qFormat/>
    <w:rsid w:val="001E5C9C"/>
    <w:rPr>
      <w:i/>
      <w:iCs/>
    </w:rPr>
  </w:style>
  <w:style w:type="table" w:styleId="TableauGrille4-Accentuation5">
    <w:name w:val="Grid Table 4 Accent 5"/>
    <w:basedOn w:val="TableauNormal"/>
    <w:uiPriority w:val="49"/>
    <w:rsid w:val="0099114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6">
    <w:name w:val="Grid Table 4 Accent 6"/>
    <w:basedOn w:val="TableauNormal"/>
    <w:uiPriority w:val="49"/>
    <w:rsid w:val="0099114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ansinterligne">
    <w:name w:val="No Spacing"/>
    <w:link w:val="SansinterligneCar"/>
    <w:uiPriority w:val="1"/>
    <w:qFormat/>
    <w:rsid w:val="004840F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840FF"/>
    <w:rPr>
      <w:rFonts w:eastAsiaTheme="minorEastAsia"/>
      <w:lang w:eastAsia="fr-FR"/>
    </w:rPr>
  </w:style>
  <w:style w:type="paragraph" w:styleId="TM3">
    <w:name w:val="toc 3"/>
    <w:basedOn w:val="Normal"/>
    <w:next w:val="Normal"/>
    <w:autoRedefine/>
    <w:uiPriority w:val="39"/>
    <w:unhideWhenUsed/>
    <w:rsid w:val="00BB19EE"/>
    <w:pPr>
      <w:tabs>
        <w:tab w:val="right" w:leader="dot" w:pos="9062"/>
      </w:tabs>
      <w:spacing w:after="100"/>
      <w:ind w:left="440"/>
    </w:pPr>
    <w:rPr>
      <w:rFonts w:ascii="Century Gothic" w:eastAsia="Times New Roman" w:hAnsi="Century Gothic" w:cs="Times New Roman"/>
      <w:b/>
      <w:bCs/>
      <w:noProof/>
      <w:lang w:eastAsia="fr-FR"/>
    </w:rPr>
  </w:style>
  <w:style w:type="paragraph" w:styleId="TM4">
    <w:name w:val="toc 4"/>
    <w:basedOn w:val="Normal"/>
    <w:next w:val="Normal"/>
    <w:autoRedefine/>
    <w:uiPriority w:val="39"/>
    <w:unhideWhenUsed/>
    <w:rsid w:val="00390FB6"/>
    <w:pPr>
      <w:tabs>
        <w:tab w:val="right" w:leader="dot" w:pos="9062"/>
      </w:tabs>
      <w:spacing w:after="100"/>
      <w:ind w:left="660"/>
    </w:pPr>
    <w:rPr>
      <w:rFonts w:ascii="Times New Roman" w:eastAsia="Times New Roman" w:hAnsi="Times New Roman" w:cs="Times New Roman"/>
      <w:bCs/>
      <w:noProof/>
      <w:lang w:eastAsia="fr-FR"/>
    </w:rPr>
  </w:style>
  <w:style w:type="character" w:styleId="Lienhypertexte">
    <w:name w:val="Hyperlink"/>
    <w:basedOn w:val="Policepardfaut"/>
    <w:uiPriority w:val="99"/>
    <w:unhideWhenUsed/>
    <w:rsid w:val="00DB6B0E"/>
    <w:rPr>
      <w:color w:val="0563C1" w:themeColor="hyperlink"/>
      <w:u w:val="single"/>
    </w:rPr>
  </w:style>
  <w:style w:type="paragraph" w:styleId="En-tte">
    <w:name w:val="header"/>
    <w:basedOn w:val="Normal"/>
    <w:link w:val="En-tteCar"/>
    <w:uiPriority w:val="99"/>
    <w:unhideWhenUsed/>
    <w:rsid w:val="00DB6B0E"/>
    <w:pPr>
      <w:tabs>
        <w:tab w:val="center" w:pos="4536"/>
        <w:tab w:val="right" w:pos="9072"/>
      </w:tabs>
      <w:spacing w:after="0" w:line="240" w:lineRule="auto"/>
    </w:pPr>
  </w:style>
  <w:style w:type="character" w:customStyle="1" w:styleId="En-tteCar">
    <w:name w:val="En-tête Car"/>
    <w:basedOn w:val="Policepardfaut"/>
    <w:link w:val="En-tte"/>
    <w:uiPriority w:val="99"/>
    <w:rsid w:val="00DB6B0E"/>
  </w:style>
  <w:style w:type="paragraph" w:styleId="Pieddepage">
    <w:name w:val="footer"/>
    <w:basedOn w:val="Normal"/>
    <w:link w:val="PieddepageCar"/>
    <w:uiPriority w:val="99"/>
    <w:unhideWhenUsed/>
    <w:rsid w:val="00DB6B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B0E"/>
  </w:style>
  <w:style w:type="table" w:styleId="Tableausimple5">
    <w:name w:val="Plain Table 5"/>
    <w:basedOn w:val="TableauNormal"/>
    <w:uiPriority w:val="45"/>
    <w:rsid w:val="00CC08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2226">
      <w:bodyDiv w:val="1"/>
      <w:marLeft w:val="0"/>
      <w:marRight w:val="0"/>
      <w:marTop w:val="0"/>
      <w:marBottom w:val="0"/>
      <w:divBdr>
        <w:top w:val="none" w:sz="0" w:space="0" w:color="auto"/>
        <w:left w:val="none" w:sz="0" w:space="0" w:color="auto"/>
        <w:bottom w:val="none" w:sz="0" w:space="0" w:color="auto"/>
        <w:right w:val="none" w:sz="0" w:space="0" w:color="auto"/>
      </w:divBdr>
    </w:div>
    <w:div w:id="103576103">
      <w:bodyDiv w:val="1"/>
      <w:marLeft w:val="0"/>
      <w:marRight w:val="0"/>
      <w:marTop w:val="0"/>
      <w:marBottom w:val="0"/>
      <w:divBdr>
        <w:top w:val="none" w:sz="0" w:space="0" w:color="auto"/>
        <w:left w:val="none" w:sz="0" w:space="0" w:color="auto"/>
        <w:bottom w:val="none" w:sz="0" w:space="0" w:color="auto"/>
        <w:right w:val="none" w:sz="0" w:space="0" w:color="auto"/>
      </w:divBdr>
    </w:div>
    <w:div w:id="245111958">
      <w:bodyDiv w:val="1"/>
      <w:marLeft w:val="0"/>
      <w:marRight w:val="0"/>
      <w:marTop w:val="0"/>
      <w:marBottom w:val="0"/>
      <w:divBdr>
        <w:top w:val="none" w:sz="0" w:space="0" w:color="auto"/>
        <w:left w:val="none" w:sz="0" w:space="0" w:color="auto"/>
        <w:bottom w:val="none" w:sz="0" w:space="0" w:color="auto"/>
        <w:right w:val="none" w:sz="0" w:space="0" w:color="auto"/>
      </w:divBdr>
    </w:div>
    <w:div w:id="311178169">
      <w:bodyDiv w:val="1"/>
      <w:marLeft w:val="0"/>
      <w:marRight w:val="0"/>
      <w:marTop w:val="0"/>
      <w:marBottom w:val="0"/>
      <w:divBdr>
        <w:top w:val="none" w:sz="0" w:space="0" w:color="auto"/>
        <w:left w:val="none" w:sz="0" w:space="0" w:color="auto"/>
        <w:bottom w:val="none" w:sz="0" w:space="0" w:color="auto"/>
        <w:right w:val="none" w:sz="0" w:space="0" w:color="auto"/>
      </w:divBdr>
    </w:div>
    <w:div w:id="326059493">
      <w:bodyDiv w:val="1"/>
      <w:marLeft w:val="0"/>
      <w:marRight w:val="0"/>
      <w:marTop w:val="0"/>
      <w:marBottom w:val="0"/>
      <w:divBdr>
        <w:top w:val="none" w:sz="0" w:space="0" w:color="auto"/>
        <w:left w:val="none" w:sz="0" w:space="0" w:color="auto"/>
        <w:bottom w:val="none" w:sz="0" w:space="0" w:color="auto"/>
        <w:right w:val="none" w:sz="0" w:space="0" w:color="auto"/>
      </w:divBdr>
    </w:div>
    <w:div w:id="588586411">
      <w:bodyDiv w:val="1"/>
      <w:marLeft w:val="0"/>
      <w:marRight w:val="0"/>
      <w:marTop w:val="0"/>
      <w:marBottom w:val="0"/>
      <w:divBdr>
        <w:top w:val="none" w:sz="0" w:space="0" w:color="auto"/>
        <w:left w:val="none" w:sz="0" w:space="0" w:color="auto"/>
        <w:bottom w:val="none" w:sz="0" w:space="0" w:color="auto"/>
        <w:right w:val="none" w:sz="0" w:space="0" w:color="auto"/>
      </w:divBdr>
    </w:div>
    <w:div w:id="1043553446">
      <w:bodyDiv w:val="1"/>
      <w:marLeft w:val="0"/>
      <w:marRight w:val="0"/>
      <w:marTop w:val="0"/>
      <w:marBottom w:val="0"/>
      <w:divBdr>
        <w:top w:val="none" w:sz="0" w:space="0" w:color="auto"/>
        <w:left w:val="none" w:sz="0" w:space="0" w:color="auto"/>
        <w:bottom w:val="none" w:sz="0" w:space="0" w:color="auto"/>
        <w:right w:val="none" w:sz="0" w:space="0" w:color="auto"/>
      </w:divBdr>
      <w:divsChild>
        <w:div w:id="439380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533939">
      <w:bodyDiv w:val="1"/>
      <w:marLeft w:val="0"/>
      <w:marRight w:val="0"/>
      <w:marTop w:val="0"/>
      <w:marBottom w:val="0"/>
      <w:divBdr>
        <w:top w:val="none" w:sz="0" w:space="0" w:color="auto"/>
        <w:left w:val="none" w:sz="0" w:space="0" w:color="auto"/>
        <w:bottom w:val="none" w:sz="0" w:space="0" w:color="auto"/>
        <w:right w:val="none" w:sz="0" w:space="0" w:color="auto"/>
      </w:divBdr>
    </w:div>
    <w:div w:id="1223641859">
      <w:bodyDiv w:val="1"/>
      <w:marLeft w:val="0"/>
      <w:marRight w:val="0"/>
      <w:marTop w:val="0"/>
      <w:marBottom w:val="0"/>
      <w:divBdr>
        <w:top w:val="none" w:sz="0" w:space="0" w:color="auto"/>
        <w:left w:val="none" w:sz="0" w:space="0" w:color="auto"/>
        <w:bottom w:val="none" w:sz="0" w:space="0" w:color="auto"/>
        <w:right w:val="none" w:sz="0" w:space="0" w:color="auto"/>
      </w:divBdr>
    </w:div>
    <w:div w:id="1310742407">
      <w:bodyDiv w:val="1"/>
      <w:marLeft w:val="0"/>
      <w:marRight w:val="0"/>
      <w:marTop w:val="0"/>
      <w:marBottom w:val="0"/>
      <w:divBdr>
        <w:top w:val="none" w:sz="0" w:space="0" w:color="auto"/>
        <w:left w:val="none" w:sz="0" w:space="0" w:color="auto"/>
        <w:bottom w:val="none" w:sz="0" w:space="0" w:color="auto"/>
        <w:right w:val="none" w:sz="0" w:space="0" w:color="auto"/>
      </w:divBdr>
    </w:div>
    <w:div w:id="1397391096">
      <w:bodyDiv w:val="1"/>
      <w:marLeft w:val="0"/>
      <w:marRight w:val="0"/>
      <w:marTop w:val="0"/>
      <w:marBottom w:val="0"/>
      <w:divBdr>
        <w:top w:val="none" w:sz="0" w:space="0" w:color="auto"/>
        <w:left w:val="none" w:sz="0" w:space="0" w:color="auto"/>
        <w:bottom w:val="none" w:sz="0" w:space="0" w:color="auto"/>
        <w:right w:val="none" w:sz="0" w:space="0" w:color="auto"/>
      </w:divBdr>
    </w:div>
    <w:div w:id="1721323615">
      <w:bodyDiv w:val="1"/>
      <w:marLeft w:val="0"/>
      <w:marRight w:val="0"/>
      <w:marTop w:val="0"/>
      <w:marBottom w:val="0"/>
      <w:divBdr>
        <w:top w:val="none" w:sz="0" w:space="0" w:color="auto"/>
        <w:left w:val="none" w:sz="0" w:space="0" w:color="auto"/>
        <w:bottom w:val="none" w:sz="0" w:space="0" w:color="auto"/>
        <w:right w:val="none" w:sz="0" w:space="0" w:color="auto"/>
      </w:divBdr>
    </w:div>
    <w:div w:id="1863473503">
      <w:bodyDiv w:val="1"/>
      <w:marLeft w:val="0"/>
      <w:marRight w:val="0"/>
      <w:marTop w:val="0"/>
      <w:marBottom w:val="0"/>
      <w:divBdr>
        <w:top w:val="none" w:sz="0" w:space="0" w:color="auto"/>
        <w:left w:val="none" w:sz="0" w:space="0" w:color="auto"/>
        <w:bottom w:val="none" w:sz="0" w:space="0" w:color="auto"/>
        <w:right w:val="none" w:sz="0" w:space="0" w:color="auto"/>
      </w:divBdr>
    </w:div>
    <w:div w:id="2079014185">
      <w:bodyDiv w:val="1"/>
      <w:marLeft w:val="0"/>
      <w:marRight w:val="0"/>
      <w:marTop w:val="0"/>
      <w:marBottom w:val="0"/>
      <w:divBdr>
        <w:top w:val="none" w:sz="0" w:space="0" w:color="auto"/>
        <w:left w:val="none" w:sz="0" w:space="0" w:color="auto"/>
        <w:bottom w:val="none" w:sz="0" w:space="0" w:color="auto"/>
        <w:right w:val="none" w:sz="0" w:space="0" w:color="auto"/>
      </w:divBdr>
    </w:div>
    <w:div w:id="210707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package" Target="embeddings/Document_Microsoft_Word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image" Target="media/image12.emf"/><Relationship Id="rId36" Type="http://schemas.openxmlformats.org/officeDocument/2006/relationships/hyperlink" Target="https://gakonews.blogspot.com/2025/12/lalucovis-apdd-appelle-l-integrite.html"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oleObject" Target="embeddings/oleObject2.bin"/><Relationship Id="rId30" Type="http://schemas.openxmlformats.org/officeDocument/2006/relationships/image" Target="media/image13.emf"/><Relationship Id="rId35" Type="http://schemas.openxmlformats.org/officeDocument/2006/relationships/oleObject" Target="embeddings/oleObject5.bin"/><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alucovis_apdd_burundi.org" TargetMode="External"/><Relationship Id="rId1" Type="http://schemas.openxmlformats.org/officeDocument/2006/relationships/hyperlink" Target="https://alucovisburundi.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1" u="none" strike="noStrike" kern="1200" cap="none" spc="20" baseline="0">
                <a:solidFill>
                  <a:srgbClr val="7030A0"/>
                </a:solidFill>
                <a:latin typeface="Times New Roman" panose="02020603050405020304" pitchFamily="18" charset="0"/>
                <a:ea typeface="+mn-ea"/>
                <a:cs typeface="Times New Roman" panose="02020603050405020304" pitchFamily="18" charset="0"/>
              </a:defRPr>
            </a:pPr>
            <a:r>
              <a:rPr lang="fr-FR" sz="1000" i="1">
                <a:solidFill>
                  <a:srgbClr val="7030A0"/>
                </a:solidFill>
                <a:latin typeface="Times New Roman" panose="02020603050405020304" pitchFamily="18" charset="0"/>
                <a:cs typeface="Times New Roman" panose="02020603050405020304" pitchFamily="18" charset="0"/>
              </a:rPr>
              <a:t>Graphique de constant cas d'incidents d'infractions et crimes (repertoriés par ALUCOVIS-APDD)</a:t>
            </a:r>
          </a:p>
        </c:rich>
      </c:tx>
      <c:overlay val="0"/>
      <c:spPr>
        <a:noFill/>
        <a:ln>
          <a:noFill/>
        </a:ln>
        <a:effectLst/>
      </c:spPr>
      <c:txPr>
        <a:bodyPr rot="0" spcFirstLastPara="1" vertOverflow="ellipsis" vert="horz" wrap="square" anchor="ctr" anchorCtr="1"/>
        <a:lstStyle/>
        <a:p>
          <a:pPr>
            <a:defRPr sz="1000" b="0" i="1" u="none" strike="noStrike" kern="1200" cap="none" spc="20" baseline="0">
              <a:solidFill>
                <a:srgbClr val="7030A0"/>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Feuil1!$B$1</c:f>
              <c:strCache>
                <c:ptCount val="1"/>
                <c:pt idx="0">
                  <c:v>Entants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Feuil1!$A$2:$A$12</c:f>
              <c:strCache>
                <c:ptCount val="11"/>
                <c:pt idx="0">
                  <c:v>Violence sexuelle</c:v>
                </c:pt>
                <c:pt idx="1">
                  <c:v>VBG</c:v>
                </c:pt>
                <c:pt idx="2">
                  <c:v>Incident foncier et héritage des biens</c:v>
                </c:pt>
                <c:pt idx="3">
                  <c:v>Incident aux carrières d'extraction d'or</c:v>
                </c:pt>
                <c:pt idx="4">
                  <c:v>Traite interne</c:v>
                </c:pt>
                <c:pt idx="5">
                  <c:v>Traite externe</c:v>
                </c:pt>
                <c:pt idx="6">
                  <c:v>Enfant en conflit avec la loi</c:v>
                </c:pt>
                <c:pt idx="7">
                  <c:v>Dossiers fixés (crimes judiciaires)</c:v>
                </c:pt>
                <c:pt idx="8">
                  <c:v>Dossiers pénales</c:v>
                </c:pt>
                <c:pt idx="9">
                  <c:v>Corruption constaté au viol</c:v>
                </c:pt>
                <c:pt idx="10">
                  <c:v>Cas d'impunité constaté</c:v>
                </c:pt>
              </c:strCache>
            </c:strRef>
          </c:cat>
          <c:val>
            <c:numRef>
              <c:f>Feuil1!$B$2:$B$12</c:f>
              <c:numCache>
                <c:formatCode>General</c:formatCode>
                <c:ptCount val="11"/>
                <c:pt idx="0">
                  <c:v>54</c:v>
                </c:pt>
                <c:pt idx="1">
                  <c:v>38</c:v>
                </c:pt>
                <c:pt idx="2">
                  <c:v>33</c:v>
                </c:pt>
                <c:pt idx="3">
                  <c:v>14</c:v>
                </c:pt>
                <c:pt idx="4">
                  <c:v>47</c:v>
                </c:pt>
                <c:pt idx="5">
                  <c:v>11</c:v>
                </c:pt>
                <c:pt idx="6">
                  <c:v>3</c:v>
                </c:pt>
                <c:pt idx="7">
                  <c:v>4</c:v>
                </c:pt>
                <c:pt idx="8">
                  <c:v>7</c:v>
                </c:pt>
                <c:pt idx="9">
                  <c:v>5</c:v>
                </c:pt>
                <c:pt idx="10">
                  <c:v>17</c:v>
                </c:pt>
              </c:numCache>
            </c:numRef>
          </c:val>
        </c:ser>
        <c:ser>
          <c:idx val="1"/>
          <c:order val="1"/>
          <c:tx>
            <c:strRef>
              <c:f>Feuil1!$C$1</c:f>
              <c:strCache>
                <c:ptCount val="1"/>
                <c:pt idx="0">
                  <c:v>Femmes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Feuil1!$A$2:$A$12</c:f>
              <c:strCache>
                <c:ptCount val="11"/>
                <c:pt idx="0">
                  <c:v>Violence sexuelle</c:v>
                </c:pt>
                <c:pt idx="1">
                  <c:v>VBG</c:v>
                </c:pt>
                <c:pt idx="2">
                  <c:v>Incident foncier et héritage des biens</c:v>
                </c:pt>
                <c:pt idx="3">
                  <c:v>Incident aux carrières d'extraction d'or</c:v>
                </c:pt>
                <c:pt idx="4">
                  <c:v>Traite interne</c:v>
                </c:pt>
                <c:pt idx="5">
                  <c:v>Traite externe</c:v>
                </c:pt>
                <c:pt idx="6">
                  <c:v>Enfant en conflit avec la loi</c:v>
                </c:pt>
                <c:pt idx="7">
                  <c:v>Dossiers fixés (crimes judiciaires)</c:v>
                </c:pt>
                <c:pt idx="8">
                  <c:v>Dossiers pénales</c:v>
                </c:pt>
                <c:pt idx="9">
                  <c:v>Corruption constaté au viol</c:v>
                </c:pt>
                <c:pt idx="10">
                  <c:v>Cas d'impunité constaté</c:v>
                </c:pt>
              </c:strCache>
            </c:strRef>
          </c:cat>
          <c:val>
            <c:numRef>
              <c:f>Feuil1!$C$2:$C$12</c:f>
              <c:numCache>
                <c:formatCode>General</c:formatCode>
                <c:ptCount val="11"/>
                <c:pt idx="0">
                  <c:v>11</c:v>
                </c:pt>
                <c:pt idx="1">
                  <c:v>75</c:v>
                </c:pt>
                <c:pt idx="2">
                  <c:v>46</c:v>
                </c:pt>
                <c:pt idx="3">
                  <c:v>13</c:v>
                </c:pt>
                <c:pt idx="4">
                  <c:v>28</c:v>
                </c:pt>
                <c:pt idx="5">
                  <c:v>43</c:v>
                </c:pt>
                <c:pt idx="6">
                  <c:v>0</c:v>
                </c:pt>
                <c:pt idx="7">
                  <c:v>6</c:v>
                </c:pt>
                <c:pt idx="8">
                  <c:v>2</c:v>
                </c:pt>
                <c:pt idx="9">
                  <c:v>5</c:v>
                </c:pt>
                <c:pt idx="10">
                  <c:v>4</c:v>
                </c:pt>
              </c:numCache>
            </c:numRef>
          </c:val>
        </c:ser>
        <c:ser>
          <c:idx val="2"/>
          <c:order val="2"/>
          <c:tx>
            <c:strRef>
              <c:f>Feuil1!$D$1</c:f>
              <c:strCache>
                <c:ptCount val="1"/>
                <c:pt idx="0">
                  <c:v>Hommes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Feuil1!$A$2:$A$12</c:f>
              <c:strCache>
                <c:ptCount val="11"/>
                <c:pt idx="0">
                  <c:v>Violence sexuelle</c:v>
                </c:pt>
                <c:pt idx="1">
                  <c:v>VBG</c:v>
                </c:pt>
                <c:pt idx="2">
                  <c:v>Incident foncier et héritage des biens</c:v>
                </c:pt>
                <c:pt idx="3">
                  <c:v>Incident aux carrières d'extraction d'or</c:v>
                </c:pt>
                <c:pt idx="4">
                  <c:v>Traite interne</c:v>
                </c:pt>
                <c:pt idx="5">
                  <c:v>Traite externe</c:v>
                </c:pt>
                <c:pt idx="6">
                  <c:v>Enfant en conflit avec la loi</c:v>
                </c:pt>
                <c:pt idx="7">
                  <c:v>Dossiers fixés (crimes judiciaires)</c:v>
                </c:pt>
                <c:pt idx="8">
                  <c:v>Dossiers pénales</c:v>
                </c:pt>
                <c:pt idx="9">
                  <c:v>Corruption constaté au viol</c:v>
                </c:pt>
                <c:pt idx="10">
                  <c:v>Cas d'impunité constaté</c:v>
                </c:pt>
              </c:strCache>
            </c:strRef>
          </c:cat>
          <c:val>
            <c:numRef>
              <c:f>Feuil1!$D$2:$D$12</c:f>
              <c:numCache>
                <c:formatCode>General</c:formatCode>
                <c:ptCount val="11"/>
                <c:pt idx="0">
                  <c:v>1</c:v>
                </c:pt>
                <c:pt idx="1">
                  <c:v>13</c:v>
                </c:pt>
                <c:pt idx="2">
                  <c:v>37</c:v>
                </c:pt>
                <c:pt idx="3">
                  <c:v>26</c:v>
                </c:pt>
                <c:pt idx="4">
                  <c:v>0</c:v>
                </c:pt>
                <c:pt idx="6">
                  <c:v>0</c:v>
                </c:pt>
                <c:pt idx="7">
                  <c:v>3</c:v>
                </c:pt>
                <c:pt idx="8">
                  <c:v>4</c:v>
                </c:pt>
                <c:pt idx="9">
                  <c:v>0</c:v>
                </c:pt>
                <c:pt idx="10">
                  <c:v>8</c:v>
                </c:pt>
              </c:numCache>
            </c:numRef>
          </c:val>
        </c:ser>
        <c:ser>
          <c:idx val="3"/>
          <c:order val="3"/>
          <c:tx>
            <c:strRef>
              <c:f>Feuil1!$E$1</c:f>
              <c:strCache>
                <c:ptCount val="1"/>
                <c:pt idx="0">
                  <c:v>Communauté marginalisée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Feuil1!$A$2:$A$12</c:f>
              <c:strCache>
                <c:ptCount val="11"/>
                <c:pt idx="0">
                  <c:v>Violence sexuelle</c:v>
                </c:pt>
                <c:pt idx="1">
                  <c:v>VBG</c:v>
                </c:pt>
                <c:pt idx="2">
                  <c:v>Incident foncier et héritage des biens</c:v>
                </c:pt>
                <c:pt idx="3">
                  <c:v>Incident aux carrières d'extraction d'or</c:v>
                </c:pt>
                <c:pt idx="4">
                  <c:v>Traite interne</c:v>
                </c:pt>
                <c:pt idx="5">
                  <c:v>Traite externe</c:v>
                </c:pt>
                <c:pt idx="6">
                  <c:v>Enfant en conflit avec la loi</c:v>
                </c:pt>
                <c:pt idx="7">
                  <c:v>Dossiers fixés (crimes judiciaires)</c:v>
                </c:pt>
                <c:pt idx="8">
                  <c:v>Dossiers pénales</c:v>
                </c:pt>
                <c:pt idx="9">
                  <c:v>Corruption constaté au viol</c:v>
                </c:pt>
                <c:pt idx="10">
                  <c:v>Cas d'impunité constaté</c:v>
                </c:pt>
              </c:strCache>
            </c:strRef>
          </c:cat>
          <c:val>
            <c:numRef>
              <c:f>Feuil1!$E$2:$E$12</c:f>
              <c:numCache>
                <c:formatCode>General</c:formatCode>
                <c:ptCount val="11"/>
                <c:pt idx="1">
                  <c:v>1</c:v>
                </c:pt>
              </c:numCache>
            </c:numRef>
          </c:val>
        </c:ser>
        <c:ser>
          <c:idx val="4"/>
          <c:order val="4"/>
          <c:tx>
            <c:strRef>
              <c:f>Feuil1!$F$1</c:f>
              <c:strCache>
                <c:ptCount val="1"/>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Feuil1!$A$2:$A$12</c:f>
              <c:strCache>
                <c:ptCount val="11"/>
                <c:pt idx="0">
                  <c:v>Violence sexuelle</c:v>
                </c:pt>
                <c:pt idx="1">
                  <c:v>VBG</c:v>
                </c:pt>
                <c:pt idx="2">
                  <c:v>Incident foncier et héritage des biens</c:v>
                </c:pt>
                <c:pt idx="3">
                  <c:v>Incident aux carrières d'extraction d'or</c:v>
                </c:pt>
                <c:pt idx="4">
                  <c:v>Traite interne</c:v>
                </c:pt>
                <c:pt idx="5">
                  <c:v>Traite externe</c:v>
                </c:pt>
                <c:pt idx="6">
                  <c:v>Enfant en conflit avec la loi</c:v>
                </c:pt>
                <c:pt idx="7">
                  <c:v>Dossiers fixés (crimes judiciaires)</c:v>
                </c:pt>
                <c:pt idx="8">
                  <c:v>Dossiers pénales</c:v>
                </c:pt>
                <c:pt idx="9">
                  <c:v>Corruption constaté au viol</c:v>
                </c:pt>
                <c:pt idx="10">
                  <c:v>Cas d'impunité constaté</c:v>
                </c:pt>
              </c:strCache>
            </c:strRef>
          </c:cat>
          <c:val>
            <c:numRef>
              <c:f>Feuil1!$F$2:$F$12</c:f>
              <c:numCache>
                <c:formatCode>General</c:formatCode>
                <c:ptCount val="11"/>
              </c:numCache>
            </c:numRef>
          </c:val>
        </c:ser>
        <c:dLbls>
          <c:dLblPos val="inEnd"/>
          <c:showLegendKey val="0"/>
          <c:showVal val="1"/>
          <c:showCatName val="0"/>
          <c:showSerName val="0"/>
          <c:showPercent val="0"/>
          <c:showBubbleSize val="0"/>
        </c:dLbls>
        <c:gapWidth val="100"/>
        <c:overlap val="-24"/>
        <c:axId val="536433840"/>
        <c:axId val="536438736"/>
      </c:barChart>
      <c:catAx>
        <c:axId val="5364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fr-FR"/>
          </a:p>
        </c:txPr>
        <c:crossAx val="536438736"/>
        <c:crosses val="autoZero"/>
        <c:auto val="1"/>
        <c:lblAlgn val="ctr"/>
        <c:lblOffset val="100"/>
        <c:noMultiLvlLbl val="0"/>
      </c:catAx>
      <c:valAx>
        <c:axId val="53643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53643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B05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r>
              <a:rPr lang="fr-FR" sz="900" b="1">
                <a:solidFill>
                  <a:sysClr val="windowText" lastClr="000000"/>
                </a:solidFill>
                <a:latin typeface="Century Gothic" panose="020B0502020202020204" pitchFamily="34" charset="0"/>
              </a:rPr>
              <a:t>Constat de ALUCOVIS-APDD dans la contribution des objectifs du PND, vision 2040 vers les ODD</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fr-FR"/>
        </a:p>
      </c:txPr>
    </c:title>
    <c:autoTitleDeleted val="0"/>
    <c:plotArea>
      <c:layout/>
      <c:lineChart>
        <c:grouping val="standard"/>
        <c:varyColors val="0"/>
        <c:ser>
          <c:idx val="0"/>
          <c:order val="0"/>
          <c:tx>
            <c:strRef>
              <c:f>Feuil1!$B$1</c:f>
              <c:strCache>
                <c:ptCount val="1"/>
                <c:pt idx="0">
                  <c:v>Zone transfrontalière ou à l'étranger</c:v>
                </c:pt>
              </c:strCache>
            </c:strRef>
          </c:tx>
          <c:spPr>
            <a:ln w="31750" cap="rnd">
              <a:solidFill>
                <a:schemeClr val="accent1"/>
              </a:solidFill>
              <a:round/>
            </a:ln>
            <a:effectLst/>
          </c:spPr>
          <c:marker>
            <c:symbol val="circle"/>
            <c:size val="17"/>
            <c:spPr>
              <a:solidFill>
                <a:schemeClr val="accent1"/>
              </a:solidFill>
              <a:ln>
                <a:noFill/>
              </a:ln>
              <a:effectLst/>
            </c:spPr>
          </c:marker>
          <c:cat>
            <c:strRef>
              <c:f>Feuil1!$A$2:$A$10</c:f>
              <c:strCache>
                <c:ptCount val="9"/>
                <c:pt idx="0">
                  <c:v>Catastrophe climatique (inondations aux pluies torentielles)</c:v>
                </c:pt>
                <c:pt idx="1">
                  <c:v>Sécheresse prolongée</c:v>
                </c:pt>
                <c:pt idx="2">
                  <c:v>Emplois crée pour jeune et femme</c:v>
                </c:pt>
                <c:pt idx="3">
                  <c:v>Missions internes réalisées</c:v>
                </c:pt>
                <c:pt idx="4">
                  <c:v>Missions externes réalisées</c:v>
                </c:pt>
                <c:pt idx="5">
                  <c:v>Plants d'arbres et fruitiers plantés </c:v>
                </c:pt>
                <c:pt idx="6">
                  <c:v>Plants distribués</c:v>
                </c:pt>
                <c:pt idx="7">
                  <c:v>Rencontres intergénérationnelles réalisées (thématiques transversalles)</c:v>
                </c:pt>
                <c:pt idx="8">
                  <c:v>Production agricole issue des CEP/FFS (en kg)</c:v>
                </c:pt>
              </c:strCache>
            </c:strRef>
          </c:cat>
          <c:val>
            <c:numRef>
              <c:f>Feuil1!$B$2:$B$10</c:f>
              <c:numCache>
                <c:formatCode>General</c:formatCode>
                <c:ptCount val="9"/>
                <c:pt idx="0">
                  <c:v>3</c:v>
                </c:pt>
                <c:pt idx="1">
                  <c:v>2</c:v>
                </c:pt>
                <c:pt idx="2">
                  <c:v>11</c:v>
                </c:pt>
                <c:pt idx="3">
                  <c:v>6</c:v>
                </c:pt>
                <c:pt idx="4">
                  <c:v>2</c:v>
                </c:pt>
                <c:pt idx="5">
                  <c:v>976</c:v>
                </c:pt>
                <c:pt idx="6">
                  <c:v>361</c:v>
                </c:pt>
                <c:pt idx="7">
                  <c:v>2</c:v>
                </c:pt>
                <c:pt idx="8">
                  <c:v>1739</c:v>
                </c:pt>
              </c:numCache>
            </c:numRef>
          </c:val>
          <c:smooth val="0"/>
        </c:ser>
        <c:ser>
          <c:idx val="1"/>
          <c:order val="1"/>
          <c:tx>
            <c:strRef>
              <c:f>Feuil1!$C$1</c:f>
              <c:strCache>
                <c:ptCount val="1"/>
                <c:pt idx="0">
                  <c:v>Mieu communautaire</c:v>
                </c:pt>
              </c:strCache>
            </c:strRef>
          </c:tx>
          <c:spPr>
            <a:ln w="31750" cap="rnd">
              <a:solidFill>
                <a:schemeClr val="accent2"/>
              </a:solidFill>
              <a:round/>
            </a:ln>
            <a:effectLst/>
          </c:spPr>
          <c:marker>
            <c:symbol val="circle"/>
            <c:size val="17"/>
            <c:spPr>
              <a:solidFill>
                <a:schemeClr val="accent2"/>
              </a:solidFill>
              <a:ln>
                <a:noFill/>
              </a:ln>
              <a:effectLst/>
            </c:spPr>
          </c:marker>
          <c:cat>
            <c:strRef>
              <c:f>Feuil1!$A$2:$A$10</c:f>
              <c:strCache>
                <c:ptCount val="9"/>
                <c:pt idx="0">
                  <c:v>Catastrophe climatique (inondations aux pluies torentielles)</c:v>
                </c:pt>
                <c:pt idx="1">
                  <c:v>Sécheresse prolongée</c:v>
                </c:pt>
                <c:pt idx="2">
                  <c:v>Emplois crée pour jeune et femme</c:v>
                </c:pt>
                <c:pt idx="3">
                  <c:v>Missions internes réalisées</c:v>
                </c:pt>
                <c:pt idx="4">
                  <c:v>Missions externes réalisées</c:v>
                </c:pt>
                <c:pt idx="5">
                  <c:v>Plants d'arbres et fruitiers plantés </c:v>
                </c:pt>
                <c:pt idx="6">
                  <c:v>Plants distribués</c:v>
                </c:pt>
                <c:pt idx="7">
                  <c:v>Rencontres intergénérationnelles réalisées (thématiques transversalles)</c:v>
                </c:pt>
                <c:pt idx="8">
                  <c:v>Production agricole issue des CEP/FFS (en kg)</c:v>
                </c:pt>
              </c:strCache>
            </c:strRef>
          </c:cat>
          <c:val>
            <c:numRef>
              <c:f>Feuil1!$C$2:$C$10</c:f>
              <c:numCache>
                <c:formatCode>General</c:formatCode>
                <c:ptCount val="9"/>
                <c:pt idx="0">
                  <c:v>12</c:v>
                </c:pt>
                <c:pt idx="1">
                  <c:v>6</c:v>
                </c:pt>
                <c:pt idx="2">
                  <c:v>36</c:v>
                </c:pt>
                <c:pt idx="3">
                  <c:v>21</c:v>
                </c:pt>
                <c:pt idx="4">
                  <c:v>0</c:v>
                </c:pt>
                <c:pt idx="5">
                  <c:v>2749</c:v>
                </c:pt>
                <c:pt idx="6">
                  <c:v>3296</c:v>
                </c:pt>
                <c:pt idx="7">
                  <c:v>7</c:v>
                </c:pt>
                <c:pt idx="8">
                  <c:v>12654</c:v>
                </c:pt>
              </c:numCache>
            </c:numRef>
          </c:val>
          <c:smooth val="0"/>
        </c:ser>
        <c:ser>
          <c:idx val="2"/>
          <c:order val="2"/>
          <c:tx>
            <c:strRef>
              <c:f>Feuil1!$D$1</c:f>
              <c:strCache>
                <c:ptCount val="1"/>
                <c:pt idx="0">
                  <c:v>Institution étatique</c:v>
                </c:pt>
              </c:strCache>
            </c:strRef>
          </c:tx>
          <c:spPr>
            <a:ln w="31750" cap="rnd">
              <a:solidFill>
                <a:schemeClr val="accent3"/>
              </a:solidFill>
              <a:round/>
            </a:ln>
            <a:effectLst/>
          </c:spPr>
          <c:marker>
            <c:symbol val="circle"/>
            <c:size val="17"/>
            <c:spPr>
              <a:solidFill>
                <a:schemeClr val="accent3"/>
              </a:solidFill>
              <a:ln>
                <a:noFill/>
              </a:ln>
              <a:effectLst/>
            </c:spPr>
          </c:marker>
          <c:cat>
            <c:strRef>
              <c:f>Feuil1!$A$2:$A$10</c:f>
              <c:strCache>
                <c:ptCount val="9"/>
                <c:pt idx="0">
                  <c:v>Catastrophe climatique (inondations aux pluies torentielles)</c:v>
                </c:pt>
                <c:pt idx="1">
                  <c:v>Sécheresse prolongée</c:v>
                </c:pt>
                <c:pt idx="2">
                  <c:v>Emplois crée pour jeune et femme</c:v>
                </c:pt>
                <c:pt idx="3">
                  <c:v>Missions internes réalisées</c:v>
                </c:pt>
                <c:pt idx="4">
                  <c:v>Missions externes réalisées</c:v>
                </c:pt>
                <c:pt idx="5">
                  <c:v>Plants d'arbres et fruitiers plantés </c:v>
                </c:pt>
                <c:pt idx="6">
                  <c:v>Plants distribués</c:v>
                </c:pt>
                <c:pt idx="7">
                  <c:v>Rencontres intergénérationnelles réalisées (thématiques transversalles)</c:v>
                </c:pt>
                <c:pt idx="8">
                  <c:v>Production agricole issue des CEP/FFS (en kg)</c:v>
                </c:pt>
              </c:strCache>
            </c:strRef>
          </c:cat>
          <c:val>
            <c:numRef>
              <c:f>Feuil1!$D$2:$D$10</c:f>
              <c:numCache>
                <c:formatCode>General</c:formatCode>
                <c:ptCount val="9"/>
                <c:pt idx="0">
                  <c:v>2</c:v>
                </c:pt>
                <c:pt idx="2">
                  <c:v>1</c:v>
                </c:pt>
                <c:pt idx="7">
                  <c:v>8</c:v>
                </c:pt>
              </c:numCache>
            </c:numRef>
          </c:val>
          <c:smooth val="0"/>
        </c:ser>
        <c:dLbls>
          <c:showLegendKey val="0"/>
          <c:showVal val="0"/>
          <c:showCatName val="0"/>
          <c:showSerName val="0"/>
          <c:showPercent val="0"/>
          <c:showBubbleSize val="0"/>
        </c:dLbls>
        <c:marker val="1"/>
        <c:smooth val="0"/>
        <c:axId val="536431664"/>
        <c:axId val="536433296"/>
      </c:lineChart>
      <c:catAx>
        <c:axId val="536431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fr-FR"/>
          </a:p>
        </c:txPr>
        <c:crossAx val="536433296"/>
        <c:crosses val="autoZero"/>
        <c:auto val="1"/>
        <c:lblAlgn val="ctr"/>
        <c:lblOffset val="100"/>
        <c:noMultiLvlLbl val="0"/>
      </c:catAx>
      <c:valAx>
        <c:axId val="5364332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r>
                  <a:rPr lang="fr-FR" sz="1000" b="0"/>
                  <a:t>Axe transversal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fr-FR"/>
          </a:p>
        </c:txPr>
        <c:crossAx val="53643166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rgbClr val="7030A0"/>
                </a:solidFill>
                <a:latin typeface="+mn-lt"/>
                <a:ea typeface="+mn-ea"/>
                <a:cs typeface="+mn-cs"/>
              </a:defRPr>
            </a:pPr>
            <a:endParaRPr lang="fr-FR"/>
          </a:p>
        </c:txPr>
      </c:dTable>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rgbClr val="00B050"/>
                </a:solidFill>
                <a:latin typeface="+mn-lt"/>
                <a:ea typeface="+mn-ea"/>
                <a:cs typeface="+mn-cs"/>
              </a:defRPr>
            </a:pPr>
            <a:r>
              <a:rPr lang="fr-FR" sz="900">
                <a:solidFill>
                  <a:srgbClr val="00B0F0"/>
                </a:solidFill>
              </a:rPr>
              <a:t>Graphique de constats de production et d'approvisionnement d'intrants agricoles et de gestion de chaînes de valeurs, constat</a:t>
            </a:r>
            <a:r>
              <a:rPr lang="fr-FR" sz="900" baseline="0">
                <a:solidFill>
                  <a:srgbClr val="00B0F0"/>
                </a:solidFill>
              </a:rPr>
              <a:t> pour la Commune Buganda et par</a:t>
            </a:r>
            <a:r>
              <a:rPr lang="fr-FR" sz="900">
                <a:solidFill>
                  <a:srgbClr val="00B0F0"/>
                </a:solidFill>
              </a:rPr>
              <a:t> ALUCOVIS-APDD</a:t>
            </a: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00B050"/>
              </a:solidFill>
              <a:latin typeface="+mn-lt"/>
              <a:ea typeface="+mn-ea"/>
              <a:cs typeface="+mn-cs"/>
            </a:defRPr>
          </a:pPr>
          <a:endParaRPr lang="fr-FR"/>
        </a:p>
      </c:txPr>
    </c:title>
    <c:autoTitleDeleted val="0"/>
    <c:plotArea>
      <c:layout/>
      <c:ofPieChart>
        <c:ofPieType val="pie"/>
        <c:varyColors val="1"/>
        <c:ser>
          <c:idx val="0"/>
          <c:order val="0"/>
          <c:tx>
            <c:strRef>
              <c:f>Feuil1!$B$1</c:f>
              <c:strCache>
                <c:ptCount val="1"/>
                <c:pt idx="0">
                  <c:v>Niveau d'influence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Production d'intrats agricoles FOMI</c:v>
                </c:pt>
                <c:pt idx="1">
                  <c:v>Demande des communautés agricoles</c:v>
                </c:pt>
                <c:pt idx="2">
                  <c:v>Recettes d'intrats FOMI à temps réel (saison)</c:v>
                </c:pt>
                <c:pt idx="3">
                  <c:v>Stock FOMI au niveau Commune reçu et retardé la distribution</c:v>
                </c:pt>
                <c:pt idx="4">
                  <c:v>Disponibilité d'achat de semences améliorés (type MAÏS)</c:v>
                </c:pt>
              </c:strCache>
            </c:strRef>
          </c:cat>
          <c:val>
            <c:numRef>
              <c:f>Feuil1!$B$2:$B$6</c:f>
              <c:numCache>
                <c:formatCode>General</c:formatCode>
                <c:ptCount val="5"/>
                <c:pt idx="0">
                  <c:v>50</c:v>
                </c:pt>
                <c:pt idx="1">
                  <c:v>150</c:v>
                </c:pt>
                <c:pt idx="2">
                  <c:v>21</c:v>
                </c:pt>
                <c:pt idx="3">
                  <c:v>16</c:v>
                </c:pt>
                <c:pt idx="4">
                  <c:v>28</c:v>
                </c:pt>
              </c:numCache>
            </c:numRef>
          </c:val>
        </c:ser>
        <c:ser>
          <c:idx val="1"/>
          <c:order val="1"/>
          <c:tx>
            <c:strRef>
              <c:f>Feuil1!$C$1</c:f>
              <c:strCache>
                <c:ptCount val="1"/>
                <c:pt idx="0">
                  <c:v>Colonne2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Production d'intrats agricoles FOMI</c:v>
                </c:pt>
                <c:pt idx="1">
                  <c:v>Demande des communautés agricoles</c:v>
                </c:pt>
                <c:pt idx="2">
                  <c:v>Recettes d'intrats FOMI à temps réel (saison)</c:v>
                </c:pt>
                <c:pt idx="3">
                  <c:v>Stock FOMI au niveau Commune reçu et retardé la distribution</c:v>
                </c:pt>
                <c:pt idx="4">
                  <c:v>Disponibilité d'achat de semences améliorés (type MAÏS)</c:v>
                </c:pt>
              </c:strCache>
            </c:strRef>
          </c:cat>
          <c:val>
            <c:numRef>
              <c:f>Feuil1!$C$2:$C$6</c:f>
              <c:numCache>
                <c:formatCode>General</c:formatCode>
                <c:ptCount val="5"/>
              </c:numCache>
            </c:numRef>
          </c:val>
        </c:ser>
        <c:ser>
          <c:idx val="2"/>
          <c:order val="2"/>
          <c:tx>
            <c:strRef>
              <c:f>Feuil1!$D$1</c:f>
              <c:strCache>
                <c:ptCount val="1"/>
                <c:pt idx="0">
                  <c:v>Colonne1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Production d'intrats agricoles FOMI</c:v>
                </c:pt>
                <c:pt idx="1">
                  <c:v>Demande des communautés agricoles</c:v>
                </c:pt>
                <c:pt idx="2">
                  <c:v>Recettes d'intrats FOMI à temps réel (saison)</c:v>
                </c:pt>
                <c:pt idx="3">
                  <c:v>Stock FOMI au niveau Commune reçu et retardé la distribution</c:v>
                </c:pt>
                <c:pt idx="4">
                  <c:v>Disponibilité d'achat de semences améliorés (type MAÏS)</c:v>
                </c:pt>
              </c:strCache>
            </c:strRef>
          </c:cat>
          <c:val>
            <c:numRef>
              <c:f>Feuil1!$D$2:$D$6</c:f>
              <c:numCache>
                <c:formatCode>General</c:formatCode>
                <c:ptCount val="5"/>
              </c:numCache>
            </c:numRef>
          </c:val>
        </c:ser>
        <c:dLbls>
          <c:dLblPos val="bestFit"/>
          <c:showLegendKey val="0"/>
          <c:showVal val="0"/>
          <c:showCatName val="1"/>
          <c:showSerName val="0"/>
          <c:showPercent val="1"/>
          <c:showBubbleSize val="0"/>
          <c:showLeaderLines val="1"/>
        </c:dLbls>
        <c:gapWidth val="150"/>
        <c:secondPieSize val="12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Taux d'intervention d'ALUCOVIS-APDD par fonds propre en milieu communautaire et du travail</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fr-FR"/>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Produit/résultat</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Nombre d'écoliers soutenus en matériel scolaire (cahiers, Bic, Uniformes, porte-document)</c:v>
                </c:pt>
                <c:pt idx="1">
                  <c:v>Nombre des foyers soutenus en initiatives socioéconomique</c:v>
                </c:pt>
                <c:pt idx="2">
                  <c:v>Superficie amblavée d'initiatives agricoles</c:v>
                </c:pt>
                <c:pt idx="3">
                  <c:v>Nombre d'écoliers filles soutenu en matériel scolaire et hygiénique</c:v>
                </c:pt>
              </c:strCache>
            </c:strRef>
          </c:cat>
          <c:val>
            <c:numRef>
              <c:f>Feuil1!$B$2:$B$5</c:f>
              <c:numCache>
                <c:formatCode>General</c:formatCode>
                <c:ptCount val="4"/>
                <c:pt idx="0">
                  <c:v>48</c:v>
                </c:pt>
                <c:pt idx="1">
                  <c:v>34</c:v>
                </c:pt>
                <c:pt idx="2">
                  <c:v>13</c:v>
                </c:pt>
                <c:pt idx="3">
                  <c:v>31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5FA64-D61A-4882-B766-0DA1752D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4557</TotalTime>
  <Pages>16</Pages>
  <Words>3749</Words>
  <Characters>20620</Characters>
  <Application>Microsoft Office Word</Application>
  <DocSecurity>0</DocSecurity>
  <Lines>171</Lines>
  <Paragraphs>48</Paragraphs>
  <ScaleCrop>false</ScaleCrop>
  <HeadingPairs>
    <vt:vector size="4" baseType="variant">
      <vt:variant>
        <vt:lpstr>Titre</vt:lpstr>
      </vt:variant>
      <vt:variant>
        <vt:i4>1</vt:i4>
      </vt:variant>
      <vt:variant>
        <vt:lpstr>Titres</vt:lpstr>
      </vt:variant>
      <vt:variant>
        <vt:i4>27</vt:i4>
      </vt:variant>
    </vt:vector>
  </HeadingPairs>
  <TitlesOfParts>
    <vt:vector size="28" baseType="lpstr">
      <vt:lpstr> Thème : Resilience Communautaire et Alignement aux Priorités Nationales (PND 2018-2027 et Vision 2040) dans un Contexte de Crises Multiples au Burundi.</vt:lpstr>
      <vt:lpstr>        I. Table des matières :</vt:lpstr>
      <vt:lpstr>        </vt:lpstr>
      <vt:lpstr>        </vt:lpstr>
      <vt:lpstr>        </vt:lpstr>
      <vt:lpstr>        </vt:lpstr>
      <vt:lpstr>        II. Sigles et Abréviations</vt:lpstr>
      <vt:lpstr>        II.1.Note de Présentation et Cadre Éthique</vt:lpstr>
      <vt:lpstr>        /Fig1. La relocalisation des Sinistrés de Gatumba à Buganda (réponses au changem</vt:lpstr>
      <vt:lpstr>        /Fig2 : L’actuel Site de Gateri pour Sinistré de Gatumba bien aménagé, construit</vt:lpstr>
      <vt:lpstr>        /Fig3 : Route partageant l’ancien Site des Rapatriés de Gateri aux Sinistrés pro</vt:lpstr>
      <vt:lpstr>        III. Préambule et Contexte Opérationnel</vt:lpstr>
      <vt:lpstr>        V. Données Statistiques et Impact 2025 (Tableaux Synoptiques)</vt:lpstr>
      <vt:lpstr>        </vt:lpstr>
      <vt:lpstr>        </vt:lpstr>
      <vt:lpstr>        </vt:lpstr>
      <vt:lpstr>        </vt:lpstr>
      <vt:lpstr>        </vt:lpstr>
      <vt:lpstr>        </vt:lpstr>
      <vt:lpstr>        </vt:lpstr>
      <vt:lpstr>        V. Axes et Domaines d'intervention</vt:lpstr>
      <vt:lpstr>        V.5. Lutte contre les VSBG, la Traite des Personnes et Corruption Judiciaire au </vt:lpstr>
      <vt:lpstr>        VI. Impact du Changement Climatique, Résilience et Exploitation Minière</vt:lpstr>
      <vt:lpstr>        VII. Nouveaux Défis et Perspectives Stratégiques 2026</vt:lpstr>
      <vt:lpstr>        /</vt:lpstr>
      <vt:lpstr>        Des annexes Stratégiques : </vt:lpstr>
      <vt:lpstr>        VIII. Recommandations Stratégiques</vt:lpstr>
      <vt:lpstr>        IX. Remerciements</vt:lpstr>
    </vt:vector>
  </TitlesOfParts>
  <Company>Association de Lutte Contre les Violences Sexuelles et Appui à la Promotion du Développement Durable « ALUCOVIS-APDD »</Company>
  <LinksUpToDate>false</LinksUpToDate>
  <CharactersWithSpaces>24321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Thème : Resilience Communautaire et Alignement aux Priorités Nationales (PND 2018-2027 et Vision 2040) dans un Contexte de Crises Multiples au Burundi. </dc:title>
  <dc:subject/>
  <dc:creator>Rapport élaboré et présenté par :</dc:creator>
  <cp:keywords/>
  <dc:description/>
  <cp:lastModifiedBy>HP</cp:lastModifiedBy>
  <cp:revision>164</cp:revision>
  <dcterms:created xsi:type="dcterms:W3CDTF">2026-01-31T11:02:00Z</dcterms:created>
  <dcterms:modified xsi:type="dcterms:W3CDTF">2026-02-12T11:09:00Z</dcterms:modified>
</cp:coreProperties>
</file>